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E869" w14:textId="77777777" w:rsidR="00894834" w:rsidRPr="00576BD4" w:rsidRDefault="00894834" w:rsidP="00894834">
      <w:pPr>
        <w:jc w:val="center"/>
        <w:rPr>
          <w:rFonts w:asciiTheme="majorBidi" w:hAnsiTheme="majorBidi" w:cstheme="majorBidi"/>
          <w:sz w:val="28"/>
          <w:szCs w:val="28"/>
          <w:lang w:bidi="dv-MV"/>
        </w:rPr>
      </w:pPr>
    </w:p>
    <w:p w14:paraId="09BC8254" w14:textId="325CD20E" w:rsidR="00576BD4" w:rsidRPr="00576BD4" w:rsidRDefault="00576BD4" w:rsidP="00576BD4">
      <w:pPr>
        <w:jc w:val="center"/>
        <w:rPr>
          <w:rFonts w:asciiTheme="majorBidi" w:hAnsiTheme="majorBidi" w:cstheme="majorBidi"/>
          <w:b/>
          <w:bCs/>
          <w:sz w:val="28"/>
          <w:szCs w:val="28"/>
        </w:rPr>
      </w:pPr>
      <w:r w:rsidRPr="00576BD4">
        <w:rPr>
          <w:rFonts w:asciiTheme="majorBidi" w:hAnsiTheme="majorBidi" w:cstheme="majorBidi"/>
          <w:b/>
          <w:bCs/>
          <w:sz w:val="28"/>
          <w:szCs w:val="28"/>
        </w:rPr>
        <w:t xml:space="preserve">TERM OF REFERENCE </w:t>
      </w:r>
    </w:p>
    <w:p w14:paraId="1BC58AA9" w14:textId="77777777" w:rsidR="00C23AEF" w:rsidRDefault="00C23AEF" w:rsidP="00576BD4">
      <w:pPr>
        <w:jc w:val="center"/>
        <w:rPr>
          <w:rFonts w:asciiTheme="majorBidi" w:eastAsia="Open Sans" w:hAnsiTheme="majorBidi" w:cstheme="majorBidi"/>
          <w:b/>
          <w:sz w:val="24"/>
          <w:szCs w:val="24"/>
          <w:lang w:val="en"/>
        </w:rPr>
      </w:pPr>
      <w:r w:rsidRPr="00C23AEF">
        <w:rPr>
          <w:rFonts w:asciiTheme="majorBidi" w:eastAsia="Open Sans" w:hAnsiTheme="majorBidi" w:cstheme="majorBidi"/>
          <w:b/>
          <w:sz w:val="24"/>
          <w:szCs w:val="24"/>
          <w:lang w:val="en"/>
        </w:rPr>
        <w:t xml:space="preserve">Maldives’ Supply-Side Housing Reform Roadmap Recommendation Based on International Best Practices </w:t>
      </w:r>
    </w:p>
    <w:p w14:paraId="2D57494C" w14:textId="203E9421" w:rsidR="00576BD4" w:rsidRDefault="00576BD4" w:rsidP="00576BD4">
      <w:pPr>
        <w:jc w:val="center"/>
        <w:rPr>
          <w:rFonts w:asciiTheme="majorBidi" w:hAnsiTheme="majorBidi" w:cstheme="majorBidi"/>
        </w:rPr>
      </w:pPr>
      <w:r>
        <w:rPr>
          <w:rFonts w:asciiTheme="majorBidi" w:hAnsiTheme="majorBidi" w:cstheme="majorBidi"/>
        </w:rPr>
        <w:t>[</w:t>
      </w:r>
      <w:r w:rsidRPr="00576BD4">
        <w:rPr>
          <w:rFonts w:asciiTheme="majorBidi" w:hAnsiTheme="majorBidi" w:cstheme="majorBidi"/>
        </w:rPr>
        <w:t xml:space="preserve">Reference No: </w:t>
      </w:r>
      <w:r w:rsidR="00C23AEF" w:rsidRPr="00C23AEF">
        <w:rPr>
          <w:rFonts w:asciiTheme="majorBidi" w:hAnsiTheme="majorBidi" w:cstheme="majorBidi"/>
        </w:rPr>
        <w:t>MV-MONPI-487405-CS-CQS</w:t>
      </w:r>
      <w:r>
        <w:rPr>
          <w:rFonts w:asciiTheme="majorBidi" w:hAnsiTheme="majorBidi" w:cstheme="majorBidi"/>
        </w:rPr>
        <w:t>]</w:t>
      </w:r>
      <w:bookmarkStart w:id="0" w:name="_30j0zll" w:colFirst="0" w:colLast="0"/>
      <w:bookmarkEnd w:id="0"/>
    </w:p>
    <w:p w14:paraId="4A5AE85E" w14:textId="77777777" w:rsidR="00C23AEF" w:rsidRPr="00C23AEF" w:rsidRDefault="00C23AEF" w:rsidP="00C23AEF">
      <w:pPr>
        <w:pStyle w:val="Heading2"/>
        <w:numPr>
          <w:ilvl w:val="0"/>
          <w:numId w:val="11"/>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Background</w:t>
      </w:r>
    </w:p>
    <w:p w14:paraId="1C9142EE" w14:textId="77777777" w:rsidR="00C23AEF" w:rsidRPr="00C23AEF" w:rsidRDefault="00C23AEF" w:rsidP="00C23AEF">
      <w:pPr>
        <w:rPr>
          <w:rFonts w:asciiTheme="majorBidi" w:hAnsiTheme="majorBidi" w:cstheme="majorBidi"/>
        </w:rPr>
      </w:pPr>
    </w:p>
    <w:p w14:paraId="151AAF8F" w14:textId="02599751"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t xml:space="preserve">The Maldives faces significant challenges in providing affordable housing.  </w:t>
      </w:r>
      <w:r w:rsidRPr="00C23AEF">
        <w:rPr>
          <w:rFonts w:asciiTheme="majorBidi" w:hAnsiTheme="majorBidi" w:cstheme="majorBidi"/>
          <w:color w:val="000000" w:themeColor="text1"/>
        </w:rPr>
        <w:t xml:space="preserve">Housing in the Greater Malé region is highly unaffordable, with only the top 20 percent of the population able to access home ownership as the cheapest home price available in the commercial market </w:t>
      </w:r>
      <w:proofErr w:type="gramStart"/>
      <w:r w:rsidRPr="00C23AEF">
        <w:rPr>
          <w:rFonts w:asciiTheme="majorBidi" w:hAnsiTheme="majorBidi" w:cstheme="majorBidi"/>
          <w:color w:val="000000" w:themeColor="text1"/>
        </w:rPr>
        <w:t>is at</w:t>
      </w:r>
      <w:proofErr w:type="gramEnd"/>
      <w:r w:rsidRPr="00C23AEF">
        <w:rPr>
          <w:rFonts w:asciiTheme="majorBidi" w:hAnsiTheme="majorBidi" w:cstheme="majorBidi"/>
          <w:color w:val="000000" w:themeColor="text1"/>
        </w:rPr>
        <w:t xml:space="preserve"> approximately MRV 1.8 million (~USD 120,000).  The high housing cost is primarily due to the scarcity of land, the reliance on construction material and labor imports, and the access to construction financing by private developers. Due to the high cost of housing, 74 percent of the residents of the capital city in Male are forced to rent and to share rental units. </w:t>
      </w:r>
    </w:p>
    <w:p w14:paraId="5E44A31F" w14:textId="420EB6B2"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t xml:space="preserve">Housing-for-all Maldivians has long been a key government priority of the Government. </w:t>
      </w:r>
      <w:r w:rsidRPr="00C23AEF">
        <w:rPr>
          <w:rFonts w:asciiTheme="majorBidi" w:hAnsiTheme="majorBidi" w:cstheme="majorBidi"/>
          <w:color w:val="000000" w:themeColor="text1"/>
        </w:rPr>
        <w:t xml:space="preserve">To address the lack of affordable housing, the Government of Maldives has become the largest funder, developer and operator of housing in Maldives.  It has contracted close to a billion dollars in external loans and guarantees to finance large-scale social housing projects of over 13,000 housing units in </w:t>
      </w:r>
      <w:proofErr w:type="spellStart"/>
      <w:r w:rsidRPr="00C23AEF">
        <w:rPr>
          <w:rFonts w:asciiTheme="majorBidi" w:hAnsiTheme="majorBidi" w:cstheme="majorBidi"/>
          <w:color w:val="000000" w:themeColor="text1"/>
        </w:rPr>
        <w:t>Hulhumale</w:t>
      </w:r>
      <w:proofErr w:type="spellEnd"/>
      <w:r w:rsidRPr="00C23AEF">
        <w:rPr>
          <w:rFonts w:asciiTheme="majorBidi" w:hAnsiTheme="majorBidi" w:cstheme="majorBidi"/>
          <w:color w:val="000000" w:themeColor="text1"/>
        </w:rPr>
        <w:t xml:space="preserve">. </w:t>
      </w:r>
    </w:p>
    <w:p w14:paraId="57C5A681" w14:textId="4983B451"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t>The government social housing program started with the formulation of the National Housing Strategy in 2009.</w:t>
      </w:r>
      <w:r w:rsidRPr="00C23AEF">
        <w:rPr>
          <w:rFonts w:asciiTheme="majorBidi" w:hAnsiTheme="majorBidi" w:cstheme="majorBidi"/>
          <w:color w:val="000000" w:themeColor="text1"/>
        </w:rPr>
        <w:t xml:space="preserve"> The 2019-2023 Strategic Action Plan outlines ambitious policy actions to increase the accessibility and affordability of housing, including (</w:t>
      </w:r>
      <w:proofErr w:type="spellStart"/>
      <w:r w:rsidRPr="00C23AEF">
        <w:rPr>
          <w:rFonts w:asciiTheme="majorBidi" w:hAnsiTheme="majorBidi" w:cstheme="majorBidi"/>
          <w:color w:val="000000" w:themeColor="text1"/>
        </w:rPr>
        <w:t>i</w:t>
      </w:r>
      <w:proofErr w:type="spellEnd"/>
      <w:r w:rsidRPr="00C23AEF">
        <w:rPr>
          <w:rFonts w:asciiTheme="majorBidi" w:hAnsiTheme="majorBidi" w:cstheme="majorBidi"/>
          <w:color w:val="000000" w:themeColor="text1"/>
        </w:rPr>
        <w:t>) the provision of 20,000 new social housing units, (ii) the allocation of MVR 1 billion (US$65 million) for the social housing loan scheme (Gedhoruveriya), and (iii) the plan to enact a tenancy and condominium law. To meet the government’s housing provision goal, public spending on housing is concentrated on supply-side strategies, namely: (</w:t>
      </w:r>
      <w:proofErr w:type="spellStart"/>
      <w:r w:rsidRPr="00C23AEF">
        <w:rPr>
          <w:rFonts w:asciiTheme="majorBidi" w:hAnsiTheme="majorBidi" w:cstheme="majorBidi"/>
          <w:color w:val="000000" w:themeColor="text1"/>
        </w:rPr>
        <w:t>i</w:t>
      </w:r>
      <w:proofErr w:type="spellEnd"/>
      <w:r w:rsidRPr="00C23AEF">
        <w:rPr>
          <w:rFonts w:asciiTheme="majorBidi" w:hAnsiTheme="majorBidi" w:cstheme="majorBidi"/>
          <w:color w:val="000000" w:themeColor="text1"/>
        </w:rPr>
        <w:t xml:space="preserve">) the Buy-Sell program in </w:t>
      </w:r>
      <w:proofErr w:type="spellStart"/>
      <w:r w:rsidRPr="00C23AEF">
        <w:rPr>
          <w:rFonts w:asciiTheme="majorBidi" w:hAnsiTheme="majorBidi" w:cstheme="majorBidi"/>
          <w:color w:val="000000" w:themeColor="text1"/>
        </w:rPr>
        <w:t>Hulhumalé</w:t>
      </w:r>
      <w:proofErr w:type="spellEnd"/>
      <w:r w:rsidRPr="00C23AEF">
        <w:rPr>
          <w:rFonts w:asciiTheme="majorBidi" w:hAnsiTheme="majorBidi" w:cstheme="majorBidi"/>
          <w:color w:val="000000" w:themeColor="text1"/>
        </w:rPr>
        <w:t xml:space="preserve"> (Phase 1 and Phase 2 – the latter is also called “</w:t>
      </w:r>
      <w:proofErr w:type="spellStart"/>
      <w:r w:rsidRPr="00C23AEF">
        <w:rPr>
          <w:rFonts w:asciiTheme="majorBidi" w:hAnsiTheme="majorBidi" w:cstheme="majorBidi"/>
          <w:color w:val="000000" w:themeColor="text1"/>
        </w:rPr>
        <w:t>Hiyaa</w:t>
      </w:r>
      <w:proofErr w:type="spellEnd"/>
      <w:r w:rsidRPr="00C23AEF">
        <w:rPr>
          <w:rFonts w:asciiTheme="majorBidi" w:hAnsiTheme="majorBidi" w:cstheme="majorBidi"/>
          <w:color w:val="000000" w:themeColor="text1"/>
        </w:rPr>
        <w:t xml:space="preserve">”); (ii) the Buy-Sell program in the atolls; and (iii) Gedhoruveriya, which provides a subsidized 6 percent fixed-rate loans to eligible households in the atolls for housing construction and upgrades. In addition, the current administration has introduced the </w:t>
      </w:r>
      <w:proofErr w:type="spellStart"/>
      <w:r w:rsidRPr="00C23AEF">
        <w:rPr>
          <w:rFonts w:asciiTheme="majorBidi" w:hAnsiTheme="majorBidi" w:cstheme="majorBidi"/>
          <w:color w:val="000000" w:themeColor="text1"/>
        </w:rPr>
        <w:t>Hiyaavehi</w:t>
      </w:r>
      <w:proofErr w:type="spellEnd"/>
      <w:r w:rsidRPr="00C23AEF">
        <w:rPr>
          <w:rFonts w:asciiTheme="majorBidi" w:hAnsiTheme="majorBidi" w:cstheme="majorBidi"/>
          <w:color w:val="000000" w:themeColor="text1"/>
        </w:rPr>
        <w:t xml:space="preserve"> financing </w:t>
      </w:r>
      <w:proofErr w:type="spellStart"/>
      <w:r w:rsidRPr="00C23AEF">
        <w:rPr>
          <w:rFonts w:asciiTheme="majorBidi" w:hAnsiTheme="majorBidi" w:cstheme="majorBidi"/>
          <w:color w:val="000000" w:themeColor="text1"/>
        </w:rPr>
        <w:t>programme</w:t>
      </w:r>
      <w:proofErr w:type="spellEnd"/>
      <w:r w:rsidRPr="00C23AEF">
        <w:rPr>
          <w:rFonts w:asciiTheme="majorBidi" w:hAnsiTheme="majorBidi" w:cstheme="majorBidi"/>
          <w:color w:val="000000" w:themeColor="text1"/>
        </w:rPr>
        <w:t xml:space="preserve"> offering affordable home construction loans at a 5 per cent interest rate through HDFC, BML, and MIB, with loan caps ranging from MVR 1 million for atolls to MVR 6 million for Greater Malé.</w:t>
      </w:r>
    </w:p>
    <w:p w14:paraId="6B8C8105" w14:textId="675EB262"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t xml:space="preserve">The housing program is being implemented by two implementing agencies, Housing Development company (HDC) and by </w:t>
      </w:r>
      <w:proofErr w:type="spellStart"/>
      <w:r w:rsidRPr="00C23AEF">
        <w:rPr>
          <w:rFonts w:asciiTheme="majorBidi" w:hAnsiTheme="majorBidi" w:cstheme="majorBidi"/>
          <w:b/>
          <w:bCs/>
          <w:color w:val="000000" w:themeColor="text1"/>
        </w:rPr>
        <w:t>Fahi</w:t>
      </w:r>
      <w:proofErr w:type="spellEnd"/>
      <w:r w:rsidRPr="00C23AEF">
        <w:rPr>
          <w:rFonts w:asciiTheme="majorBidi" w:hAnsiTheme="majorBidi" w:cstheme="majorBidi"/>
          <w:b/>
          <w:bCs/>
          <w:color w:val="000000" w:themeColor="text1"/>
        </w:rPr>
        <w:t xml:space="preserve"> </w:t>
      </w:r>
      <w:proofErr w:type="spellStart"/>
      <w:r w:rsidRPr="00C23AEF">
        <w:rPr>
          <w:rFonts w:asciiTheme="majorBidi" w:hAnsiTheme="majorBidi" w:cstheme="majorBidi"/>
          <w:b/>
          <w:bCs/>
          <w:color w:val="000000" w:themeColor="text1"/>
        </w:rPr>
        <w:t>Dhiriulhun</w:t>
      </w:r>
      <w:proofErr w:type="spellEnd"/>
      <w:r w:rsidRPr="00C23AEF">
        <w:rPr>
          <w:rFonts w:asciiTheme="majorBidi" w:hAnsiTheme="majorBidi" w:cstheme="majorBidi"/>
          <w:b/>
          <w:bCs/>
          <w:color w:val="000000" w:themeColor="text1"/>
        </w:rPr>
        <w:t xml:space="preserve"> Corporation (FDC), that are owned by the government</w:t>
      </w:r>
      <w:r w:rsidRPr="00C23AEF">
        <w:rPr>
          <w:rFonts w:asciiTheme="majorBidi" w:hAnsiTheme="majorBidi" w:cstheme="majorBidi"/>
          <w:color w:val="000000" w:themeColor="text1"/>
        </w:rPr>
        <w:t>.  These agencies borrow foreign debt guaranteed by the government to build the social housing projects, issue a buy-sell contract for a period of 20 years with the beneficiaries who have been selected by the government based on “housing poor” prevalent conditions, collect the payments and manage the maintenance and repair of these social housing projects.  The Ministry of Construction, Housing, and Infrastructure also oversees several social housing projects in the atolls directly.</w:t>
      </w:r>
    </w:p>
    <w:p w14:paraId="60D92B80" w14:textId="36EE5156"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lastRenderedPageBreak/>
        <w:t xml:space="preserve">The social housing program has been costly and exposes the </w:t>
      </w:r>
      <w:proofErr w:type="spellStart"/>
      <w:r w:rsidRPr="00C23AEF">
        <w:rPr>
          <w:rFonts w:asciiTheme="majorBidi" w:hAnsiTheme="majorBidi" w:cstheme="majorBidi"/>
          <w:b/>
          <w:bCs/>
          <w:color w:val="000000" w:themeColor="text1"/>
        </w:rPr>
        <w:t>GoM</w:t>
      </w:r>
      <w:proofErr w:type="spellEnd"/>
      <w:r w:rsidRPr="00C23AEF">
        <w:rPr>
          <w:rFonts w:asciiTheme="majorBidi" w:hAnsiTheme="majorBidi" w:cstheme="majorBidi"/>
          <w:b/>
          <w:bCs/>
          <w:color w:val="000000" w:themeColor="text1"/>
        </w:rPr>
        <w:t xml:space="preserve"> to severe fiscal strain to repay its housing debt obligations. </w:t>
      </w:r>
      <w:proofErr w:type="spellStart"/>
      <w:r w:rsidRPr="00C23AEF">
        <w:rPr>
          <w:rFonts w:asciiTheme="majorBidi" w:hAnsiTheme="majorBidi" w:cstheme="majorBidi"/>
          <w:color w:val="000000" w:themeColor="text1"/>
        </w:rPr>
        <w:t>GoM</w:t>
      </w:r>
      <w:proofErr w:type="spellEnd"/>
      <w:r w:rsidRPr="00C23AEF">
        <w:rPr>
          <w:rFonts w:asciiTheme="majorBidi" w:hAnsiTheme="majorBidi" w:cstheme="majorBidi"/>
          <w:color w:val="000000" w:themeColor="text1"/>
        </w:rPr>
        <w:t xml:space="preserve"> housing programs are costly, due to Government financing both the supply and demand side. An estimated $1 billion USD has already been spent on the program, with debt outstanding on publicly guaranteed housing sector loans of $612.69 million USD in Jan 2024. Debt service is projected to peak in 2025 at $129.38 million USD.</w:t>
      </w:r>
      <w:r w:rsidRPr="00C23AEF">
        <w:rPr>
          <w:rStyle w:val="FootnoteReference"/>
          <w:rFonts w:asciiTheme="majorBidi" w:hAnsiTheme="majorBidi" w:cstheme="majorBidi"/>
          <w:color w:val="000000" w:themeColor="text1"/>
        </w:rPr>
        <w:footnoteReference w:id="1"/>
      </w:r>
      <w:r w:rsidRPr="00C23AEF">
        <w:rPr>
          <w:rFonts w:asciiTheme="majorBidi" w:hAnsiTheme="majorBidi" w:cstheme="majorBidi"/>
          <w:color w:val="000000" w:themeColor="text1"/>
        </w:rPr>
        <w:t xml:space="preserve"> Persistent negative cash flows- specifically 600 million MVR ($39 million USD) annually at Hiya and 24 million MVR ($1.6 million USD) at </w:t>
      </w:r>
      <w:proofErr w:type="spellStart"/>
      <w:r w:rsidRPr="00C23AEF">
        <w:rPr>
          <w:rFonts w:asciiTheme="majorBidi" w:hAnsiTheme="majorBidi" w:cstheme="majorBidi"/>
          <w:color w:val="000000" w:themeColor="text1"/>
        </w:rPr>
        <w:t>Hulhumale</w:t>
      </w:r>
      <w:proofErr w:type="spellEnd"/>
      <w:r w:rsidRPr="00C23AEF">
        <w:rPr>
          <w:rFonts w:asciiTheme="majorBidi" w:hAnsiTheme="majorBidi" w:cstheme="majorBidi"/>
          <w:color w:val="000000" w:themeColor="text1"/>
        </w:rPr>
        <w:t xml:space="preserve"> Phase 1- </w:t>
      </w:r>
      <w:proofErr w:type="gramStart"/>
      <w:r w:rsidRPr="00C23AEF">
        <w:rPr>
          <w:rFonts w:asciiTheme="majorBidi" w:hAnsiTheme="majorBidi" w:cstheme="majorBidi"/>
          <w:color w:val="000000" w:themeColor="text1"/>
        </w:rPr>
        <w:t>impede</w:t>
      </w:r>
      <w:proofErr w:type="gramEnd"/>
      <w:r w:rsidRPr="00C23AEF">
        <w:rPr>
          <w:rFonts w:asciiTheme="majorBidi" w:hAnsiTheme="majorBidi" w:cstheme="majorBidi"/>
          <w:color w:val="000000" w:themeColor="text1"/>
        </w:rPr>
        <w:t xml:space="preserve"> </w:t>
      </w:r>
      <w:proofErr w:type="spellStart"/>
      <w:r w:rsidRPr="00C23AEF">
        <w:rPr>
          <w:rFonts w:asciiTheme="majorBidi" w:hAnsiTheme="majorBidi" w:cstheme="majorBidi"/>
          <w:color w:val="000000" w:themeColor="text1"/>
        </w:rPr>
        <w:t>GoM’s</w:t>
      </w:r>
      <w:proofErr w:type="spellEnd"/>
      <w:r w:rsidRPr="00C23AEF">
        <w:rPr>
          <w:rFonts w:asciiTheme="majorBidi" w:hAnsiTheme="majorBidi" w:cstheme="majorBidi"/>
          <w:color w:val="000000" w:themeColor="text1"/>
        </w:rPr>
        <w:t xml:space="preserve"> ability to service the associated debt. For the 2025 budget, MVR 1.5 billion has been reserved for housing investment</w:t>
      </w:r>
      <w:r w:rsidRPr="00C23AEF">
        <w:rPr>
          <w:rStyle w:val="FootnoteReference"/>
          <w:rFonts w:asciiTheme="majorBidi" w:hAnsiTheme="majorBidi" w:cstheme="majorBidi"/>
          <w:color w:val="000000" w:themeColor="text1"/>
        </w:rPr>
        <w:footnoteReference w:id="2"/>
      </w:r>
      <w:r w:rsidRPr="00C23AEF">
        <w:rPr>
          <w:rFonts w:asciiTheme="majorBidi" w:hAnsiTheme="majorBidi" w:cstheme="majorBidi"/>
          <w:color w:val="000000" w:themeColor="text1"/>
        </w:rPr>
        <w:t>.</w:t>
      </w:r>
    </w:p>
    <w:p w14:paraId="0666C23E" w14:textId="77777777"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color w:val="000000" w:themeColor="text1"/>
        </w:rPr>
        <w:t>The housing program suffers from systemic issues:</w:t>
      </w:r>
    </w:p>
    <w:p w14:paraId="2F3677DA" w14:textId="77777777" w:rsidR="00C23AEF" w:rsidRPr="00C23AEF" w:rsidRDefault="00C23AEF" w:rsidP="00C23AEF">
      <w:pPr>
        <w:pStyle w:val="ListParagraph"/>
        <w:numPr>
          <w:ilvl w:val="0"/>
          <w:numId w:val="5"/>
        </w:numPr>
        <w:tabs>
          <w:tab w:val="left" w:pos="851"/>
        </w:tabs>
        <w:spacing w:after="0" w:line="240" w:lineRule="auto"/>
        <w:jc w:val="both"/>
        <w:rPr>
          <w:rFonts w:asciiTheme="majorBidi" w:hAnsiTheme="majorBidi" w:cstheme="majorBidi"/>
        </w:rPr>
      </w:pPr>
      <w:r w:rsidRPr="00C23AEF">
        <w:rPr>
          <w:rFonts w:asciiTheme="majorBidi" w:hAnsiTheme="majorBidi" w:cstheme="majorBidi"/>
          <w:b/>
          <w:bCs/>
          <w:color w:val="000000" w:themeColor="text1"/>
        </w:rPr>
        <w:t>High Delinquency and Unsustainable Subsidies</w:t>
      </w:r>
      <w:r w:rsidRPr="00C23AEF">
        <w:rPr>
          <w:rFonts w:asciiTheme="majorBidi" w:hAnsiTheme="majorBidi" w:cstheme="majorBidi"/>
          <w:color w:val="000000" w:themeColor="text1"/>
        </w:rPr>
        <w:t xml:space="preserve">: Over 50% of buy-sell contracts are non-performing in </w:t>
      </w:r>
      <w:proofErr w:type="spellStart"/>
      <w:r w:rsidRPr="00C23AEF">
        <w:rPr>
          <w:rFonts w:asciiTheme="majorBidi" w:hAnsiTheme="majorBidi" w:cstheme="majorBidi"/>
          <w:color w:val="000000" w:themeColor="text1"/>
        </w:rPr>
        <w:t>Hulhumale</w:t>
      </w:r>
      <w:proofErr w:type="spellEnd"/>
      <w:r w:rsidRPr="00C23AEF">
        <w:rPr>
          <w:rFonts w:asciiTheme="majorBidi" w:hAnsiTheme="majorBidi" w:cstheme="majorBidi"/>
          <w:color w:val="000000" w:themeColor="text1"/>
        </w:rPr>
        <w:t>. Poor repayment enforcement and frequent government leniencies further disincentivize payment compliance.</w:t>
      </w:r>
      <w:r w:rsidRPr="00C23AEF">
        <w:rPr>
          <w:rFonts w:asciiTheme="majorBidi" w:hAnsiTheme="majorBidi" w:cstheme="majorBidi"/>
        </w:rPr>
        <w:t xml:space="preserve">  Although the contracts state that implementing agencies have the right to evict households who are delinquent, eviction is not being enforced.</w:t>
      </w:r>
    </w:p>
    <w:p w14:paraId="57A0A9EE" w14:textId="77777777" w:rsidR="00C23AEF" w:rsidRPr="00C23AEF" w:rsidRDefault="00C23AEF" w:rsidP="00C23AEF">
      <w:pPr>
        <w:pStyle w:val="ListParagraph"/>
        <w:numPr>
          <w:ilvl w:val="0"/>
          <w:numId w:val="5"/>
        </w:numPr>
        <w:tabs>
          <w:tab w:val="left" w:pos="851"/>
        </w:tabs>
        <w:spacing w:after="0" w:line="240" w:lineRule="auto"/>
        <w:jc w:val="both"/>
        <w:rPr>
          <w:rFonts w:asciiTheme="majorBidi" w:hAnsiTheme="majorBidi" w:cstheme="majorBidi"/>
        </w:rPr>
      </w:pPr>
      <w:r w:rsidRPr="00C23AEF">
        <w:rPr>
          <w:rFonts w:asciiTheme="majorBidi" w:hAnsiTheme="majorBidi" w:cstheme="majorBidi"/>
          <w:b/>
          <w:bCs/>
          <w:color w:val="000000" w:themeColor="text1"/>
        </w:rPr>
        <w:t>Ineffective Targeting</w:t>
      </w:r>
      <w:r w:rsidRPr="00C23AEF">
        <w:rPr>
          <w:rFonts w:asciiTheme="majorBidi" w:hAnsiTheme="majorBidi" w:cstheme="majorBidi"/>
          <w:color w:val="000000" w:themeColor="text1"/>
        </w:rPr>
        <w:t xml:space="preserve">: Beneficiary selection prioritizes “housing poor” that include broad demographics such as civil servants and professionals without means-testing.  The one-size-fits-all subsidy structure leads to inequitable outcomes, enabling higher-income households to benefit and reducing fiscal capacity support for the most vulnerable population. </w:t>
      </w:r>
    </w:p>
    <w:p w14:paraId="49A3F118" w14:textId="77777777" w:rsidR="00C23AEF" w:rsidRPr="00C23AEF" w:rsidRDefault="00C23AEF" w:rsidP="00C23AEF">
      <w:pPr>
        <w:pStyle w:val="ListParagraph"/>
        <w:numPr>
          <w:ilvl w:val="0"/>
          <w:numId w:val="5"/>
        </w:numPr>
        <w:tabs>
          <w:tab w:val="left" w:pos="851"/>
        </w:tabs>
        <w:spacing w:after="0" w:line="240" w:lineRule="auto"/>
        <w:jc w:val="both"/>
        <w:rPr>
          <w:rFonts w:asciiTheme="majorBidi" w:hAnsiTheme="majorBidi" w:cstheme="majorBidi"/>
        </w:rPr>
      </w:pPr>
      <w:r w:rsidRPr="00C23AEF">
        <w:rPr>
          <w:rFonts w:asciiTheme="majorBidi" w:hAnsiTheme="majorBidi" w:cstheme="majorBidi"/>
          <w:b/>
          <w:bCs/>
          <w:color w:val="000000" w:themeColor="text1"/>
        </w:rPr>
        <w:t>Design and Maintenance Challenges</w:t>
      </w:r>
      <w:r w:rsidRPr="00C23AEF">
        <w:rPr>
          <w:rFonts w:asciiTheme="majorBidi" w:hAnsiTheme="majorBidi" w:cstheme="majorBidi"/>
          <w:color w:val="000000" w:themeColor="text1"/>
        </w:rPr>
        <w:t>: There is a lack of standardization the social housing program. The design and construction quality of the different projects vary widely over the years.  Further, inadequate maintenance and infrastructure issues lead to widespread dissatisfaction.</w:t>
      </w:r>
    </w:p>
    <w:p w14:paraId="3164F332" w14:textId="77777777" w:rsidR="00C23AEF" w:rsidRPr="00C23AEF" w:rsidRDefault="00C23AEF" w:rsidP="00C23AEF">
      <w:pPr>
        <w:pStyle w:val="ListParagraph"/>
        <w:numPr>
          <w:ilvl w:val="0"/>
          <w:numId w:val="5"/>
        </w:numPr>
        <w:tabs>
          <w:tab w:val="left" w:pos="851"/>
        </w:tabs>
        <w:spacing w:after="0" w:line="240" w:lineRule="auto"/>
        <w:jc w:val="both"/>
        <w:rPr>
          <w:rFonts w:asciiTheme="majorBidi" w:hAnsiTheme="majorBidi" w:cstheme="majorBidi"/>
        </w:rPr>
      </w:pPr>
      <w:r w:rsidRPr="00C23AEF">
        <w:rPr>
          <w:rFonts w:asciiTheme="majorBidi" w:hAnsiTheme="majorBidi" w:cstheme="majorBidi"/>
          <w:b/>
          <w:bCs/>
          <w:color w:val="000000" w:themeColor="text1"/>
        </w:rPr>
        <w:t>Private Sector Crowding Out</w:t>
      </w:r>
      <w:r w:rsidRPr="00C23AEF">
        <w:rPr>
          <w:rFonts w:asciiTheme="majorBidi" w:hAnsiTheme="majorBidi" w:cstheme="majorBidi"/>
          <w:color w:val="000000" w:themeColor="text1"/>
        </w:rPr>
        <w:t>: Government-led housing dominates the market, delivering 74% of housing stock in 2020, discouraging private developers and financial institutions. Regulatory barriers, including slow title transfers and foreclosure processes which heighten risk for mortgage lenders.</w:t>
      </w:r>
    </w:p>
    <w:p w14:paraId="121C8732" w14:textId="1C6F9AFE" w:rsidR="00C23AEF" w:rsidRPr="00C23AEF" w:rsidRDefault="00C23AEF" w:rsidP="00C23AEF">
      <w:pPr>
        <w:pStyle w:val="ListParagraph"/>
        <w:numPr>
          <w:ilvl w:val="0"/>
          <w:numId w:val="5"/>
        </w:numPr>
        <w:tabs>
          <w:tab w:val="left" w:pos="851"/>
        </w:tabs>
        <w:spacing w:after="0" w:line="240" w:lineRule="auto"/>
        <w:jc w:val="both"/>
        <w:rPr>
          <w:rFonts w:asciiTheme="majorBidi" w:hAnsiTheme="majorBidi" w:cstheme="majorBidi"/>
        </w:rPr>
      </w:pPr>
      <w:r w:rsidRPr="00C23AEF">
        <w:rPr>
          <w:rFonts w:asciiTheme="majorBidi" w:hAnsiTheme="majorBidi" w:cstheme="majorBidi"/>
          <w:b/>
          <w:bCs/>
          <w:color w:val="000000" w:themeColor="text1"/>
        </w:rPr>
        <w:t>Moral Hazard and Subleasing</w:t>
      </w:r>
      <w:r w:rsidRPr="00C23AEF">
        <w:rPr>
          <w:rFonts w:asciiTheme="majorBidi" w:hAnsiTheme="majorBidi" w:cstheme="majorBidi"/>
          <w:color w:val="000000" w:themeColor="text1"/>
        </w:rPr>
        <w:t>: Beneficiaries often treat units as entitlements, with illegal subleasing at market rates widespread. Weak enforcement mechanisms exacerbate this issue.</w:t>
      </w:r>
    </w:p>
    <w:p w14:paraId="235A1E5F" w14:textId="77777777" w:rsidR="00C23AEF" w:rsidRPr="00C23AEF" w:rsidRDefault="00C23AEF" w:rsidP="00C23AEF">
      <w:pPr>
        <w:pStyle w:val="ListParagraph"/>
        <w:tabs>
          <w:tab w:val="left" w:pos="851"/>
        </w:tabs>
        <w:spacing w:after="0" w:line="240" w:lineRule="auto"/>
        <w:jc w:val="both"/>
        <w:rPr>
          <w:rFonts w:asciiTheme="majorBidi" w:hAnsiTheme="majorBidi" w:cstheme="majorBidi"/>
        </w:rPr>
      </w:pPr>
    </w:p>
    <w:p w14:paraId="49EB6BC3" w14:textId="6791EE9B" w:rsidR="00C23AEF" w:rsidRPr="00C23AEF" w:rsidRDefault="00C23AEF" w:rsidP="00C23AEF">
      <w:pPr>
        <w:jc w:val="both"/>
        <w:rPr>
          <w:rFonts w:asciiTheme="majorBidi" w:hAnsiTheme="majorBidi" w:cstheme="majorBidi"/>
          <w:color w:val="000000" w:themeColor="text1"/>
        </w:rPr>
      </w:pPr>
      <w:r w:rsidRPr="00C23AEF">
        <w:rPr>
          <w:rFonts w:asciiTheme="majorBidi" w:hAnsiTheme="majorBidi" w:cstheme="majorBidi"/>
          <w:b/>
          <w:bCs/>
          <w:color w:val="000000" w:themeColor="text1"/>
        </w:rPr>
        <w:t xml:space="preserve">The </w:t>
      </w:r>
      <w:proofErr w:type="spellStart"/>
      <w:r w:rsidRPr="00C23AEF">
        <w:rPr>
          <w:rFonts w:asciiTheme="majorBidi" w:hAnsiTheme="majorBidi" w:cstheme="majorBidi"/>
          <w:b/>
          <w:bCs/>
          <w:color w:val="000000" w:themeColor="text1"/>
        </w:rPr>
        <w:t>GoM</w:t>
      </w:r>
      <w:proofErr w:type="spellEnd"/>
      <w:r w:rsidRPr="00C23AEF">
        <w:rPr>
          <w:rFonts w:asciiTheme="majorBidi" w:hAnsiTheme="majorBidi" w:cstheme="majorBidi"/>
          <w:b/>
          <w:bCs/>
          <w:color w:val="000000" w:themeColor="text1"/>
        </w:rPr>
        <w:t xml:space="preserve"> commits to reform the buy-</w:t>
      </w:r>
      <w:proofErr w:type="gramStart"/>
      <w:r w:rsidRPr="00C23AEF">
        <w:rPr>
          <w:rFonts w:asciiTheme="majorBidi" w:hAnsiTheme="majorBidi" w:cstheme="majorBidi"/>
          <w:b/>
          <w:bCs/>
          <w:color w:val="000000" w:themeColor="text1"/>
        </w:rPr>
        <w:t>sell</w:t>
      </w:r>
      <w:proofErr w:type="gramEnd"/>
      <w:r w:rsidRPr="00C23AEF">
        <w:rPr>
          <w:rFonts w:asciiTheme="majorBidi" w:hAnsiTheme="majorBidi" w:cstheme="majorBidi"/>
          <w:b/>
          <w:bCs/>
          <w:color w:val="000000" w:themeColor="text1"/>
        </w:rPr>
        <w:t xml:space="preserve"> social housing program and to shift its subsidy program toward a more sustainable system which stimulates private capital and leverages </w:t>
      </w:r>
      <w:proofErr w:type="gramStart"/>
      <w:r w:rsidRPr="00C23AEF">
        <w:rPr>
          <w:rFonts w:asciiTheme="majorBidi" w:hAnsiTheme="majorBidi" w:cstheme="majorBidi"/>
          <w:b/>
          <w:bCs/>
          <w:color w:val="000000" w:themeColor="text1"/>
        </w:rPr>
        <w:t>capacity</w:t>
      </w:r>
      <w:proofErr w:type="gramEnd"/>
      <w:r w:rsidRPr="00C23AEF">
        <w:rPr>
          <w:rFonts w:asciiTheme="majorBidi" w:hAnsiTheme="majorBidi" w:cstheme="majorBidi"/>
          <w:b/>
          <w:bCs/>
          <w:color w:val="000000" w:themeColor="text1"/>
        </w:rPr>
        <w:t xml:space="preserve"> of developers and banks.  </w:t>
      </w:r>
      <w:r w:rsidRPr="00C23AEF">
        <w:rPr>
          <w:rFonts w:asciiTheme="majorBidi" w:hAnsiTheme="majorBidi" w:cstheme="majorBidi"/>
          <w:color w:val="000000" w:themeColor="text1"/>
        </w:rPr>
        <w:t>Under the Maldives Urban Development and Resilience Project (MUDRP – P163957), the Sustainable Housing Policy Reform study has laid out recommendations for a phased reform approach.  The Maldives’ current fiscal crisis given the high level of external debt and persistent fiscal deficits further necessitates the social housing reform.  Shifting toward a private-sector led and government-enabled with performance-based incentives can become effective instruments to stimulate the beneficiaries to pay and help extract the government from being the key housing operator and funder and as such, reducing government risk.</w:t>
      </w:r>
    </w:p>
    <w:p w14:paraId="3DBD62F6" w14:textId="3CB467A7" w:rsidR="00C23AEF" w:rsidRPr="00C23AEF" w:rsidRDefault="00C23AEF" w:rsidP="00C23AEF">
      <w:pPr>
        <w:pStyle w:val="Heading2"/>
        <w:numPr>
          <w:ilvl w:val="0"/>
          <w:numId w:val="11"/>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Objectives</w:t>
      </w:r>
    </w:p>
    <w:p w14:paraId="3C0B847A" w14:textId="534BF9A7" w:rsidR="00C23AEF" w:rsidRPr="00C23AEF" w:rsidRDefault="00C23AEF" w:rsidP="00C23AEF">
      <w:pPr>
        <w:spacing w:before="240"/>
        <w:jc w:val="both"/>
        <w:rPr>
          <w:rFonts w:asciiTheme="majorBidi" w:hAnsiTheme="majorBidi" w:cstheme="majorBidi"/>
        </w:rPr>
      </w:pPr>
      <w:r w:rsidRPr="00C23AEF">
        <w:rPr>
          <w:rFonts w:asciiTheme="majorBidi" w:hAnsiTheme="majorBidi" w:cstheme="majorBidi"/>
        </w:rPr>
        <w:t>The objective of this activity is to support the Ministry of Construction, Housing and Infrastructure (</w:t>
      </w:r>
      <w:proofErr w:type="spellStart"/>
      <w:r w:rsidRPr="00C23AEF">
        <w:rPr>
          <w:rFonts w:asciiTheme="majorBidi" w:hAnsiTheme="majorBidi" w:cstheme="majorBidi"/>
        </w:rPr>
        <w:t>MoCHI</w:t>
      </w:r>
      <w:proofErr w:type="spellEnd"/>
      <w:r w:rsidRPr="00C23AEF">
        <w:rPr>
          <w:rFonts w:asciiTheme="majorBidi" w:hAnsiTheme="majorBidi" w:cstheme="majorBidi"/>
        </w:rPr>
        <w:t>), and the Ministry of Finance and Planning (</w:t>
      </w:r>
      <w:proofErr w:type="spellStart"/>
      <w:r w:rsidRPr="00C23AEF">
        <w:rPr>
          <w:rFonts w:asciiTheme="majorBidi" w:hAnsiTheme="majorBidi" w:cstheme="majorBidi"/>
        </w:rPr>
        <w:t>MoFP</w:t>
      </w:r>
      <w:proofErr w:type="spellEnd"/>
      <w:r w:rsidRPr="00C23AEF">
        <w:rPr>
          <w:rFonts w:asciiTheme="majorBidi" w:hAnsiTheme="majorBidi" w:cstheme="majorBidi"/>
        </w:rPr>
        <w:t xml:space="preserve">), in developing recommendations for alternative reform scenarios to transition the government social housing development towards supply-side solutions that crowd-in private developers while reducing the </w:t>
      </w:r>
      <w:proofErr w:type="spellStart"/>
      <w:r w:rsidRPr="00C23AEF">
        <w:rPr>
          <w:rFonts w:asciiTheme="majorBidi" w:hAnsiTheme="majorBidi" w:cstheme="majorBidi"/>
        </w:rPr>
        <w:t>GoM</w:t>
      </w:r>
      <w:proofErr w:type="spellEnd"/>
      <w:r w:rsidRPr="00C23AEF">
        <w:rPr>
          <w:rFonts w:asciiTheme="majorBidi" w:hAnsiTheme="majorBidi" w:cstheme="majorBidi"/>
        </w:rPr>
        <w:t xml:space="preserve"> fiscal and operating risks.  The </w:t>
      </w:r>
      <w:r w:rsidRPr="00C23AEF">
        <w:rPr>
          <w:rFonts w:asciiTheme="majorBidi" w:hAnsiTheme="majorBidi" w:cstheme="majorBidi"/>
        </w:rPr>
        <w:lastRenderedPageBreak/>
        <w:t xml:space="preserve">recommendations will be </w:t>
      </w:r>
      <w:proofErr w:type="gramStart"/>
      <w:r w:rsidRPr="00C23AEF">
        <w:rPr>
          <w:rFonts w:asciiTheme="majorBidi" w:hAnsiTheme="majorBidi" w:cstheme="majorBidi"/>
        </w:rPr>
        <w:t>bounded</w:t>
      </w:r>
      <w:proofErr w:type="gramEnd"/>
      <w:r w:rsidRPr="00C23AEF">
        <w:rPr>
          <w:rFonts w:asciiTheme="majorBidi" w:hAnsiTheme="majorBidi" w:cstheme="majorBidi"/>
        </w:rPr>
        <w:t xml:space="preserve"> </w:t>
      </w:r>
      <w:proofErr w:type="gramStart"/>
      <w:r w:rsidRPr="00C23AEF">
        <w:rPr>
          <w:rFonts w:asciiTheme="majorBidi" w:hAnsiTheme="majorBidi" w:cstheme="majorBidi"/>
        </w:rPr>
        <w:t>with</w:t>
      </w:r>
      <w:proofErr w:type="gramEnd"/>
      <w:r w:rsidRPr="00C23AEF">
        <w:rPr>
          <w:rFonts w:asciiTheme="majorBidi" w:hAnsiTheme="majorBidi" w:cstheme="majorBidi"/>
        </w:rPr>
        <w:t xml:space="preserve"> </w:t>
      </w:r>
      <w:proofErr w:type="gramStart"/>
      <w:r w:rsidRPr="00C23AEF">
        <w:rPr>
          <w:rFonts w:asciiTheme="majorBidi" w:hAnsiTheme="majorBidi" w:cstheme="majorBidi"/>
        </w:rPr>
        <w:t>international best</w:t>
      </w:r>
      <w:proofErr w:type="gramEnd"/>
      <w:r w:rsidRPr="00C23AEF">
        <w:rPr>
          <w:rFonts w:asciiTheme="majorBidi" w:hAnsiTheme="majorBidi" w:cstheme="majorBidi"/>
        </w:rPr>
        <w:t xml:space="preserve"> practices, robust financial modeling and analytics, comparative cost-benefit analysis and </w:t>
      </w:r>
      <w:proofErr w:type="gramStart"/>
      <w:r w:rsidRPr="00C23AEF">
        <w:rPr>
          <w:rFonts w:asciiTheme="majorBidi" w:hAnsiTheme="majorBidi" w:cstheme="majorBidi"/>
        </w:rPr>
        <w:t>market demand</w:t>
      </w:r>
      <w:proofErr w:type="gramEnd"/>
      <w:r w:rsidRPr="00C23AEF">
        <w:rPr>
          <w:rFonts w:asciiTheme="majorBidi" w:hAnsiTheme="majorBidi" w:cstheme="majorBidi"/>
        </w:rPr>
        <w:t>-side surveys</w:t>
      </w:r>
      <w:r w:rsidRPr="00C23AEF">
        <w:rPr>
          <w:rStyle w:val="FootnoteReference"/>
          <w:rFonts w:asciiTheme="majorBidi" w:hAnsiTheme="majorBidi" w:cstheme="majorBidi"/>
        </w:rPr>
        <w:footnoteReference w:id="3"/>
      </w:r>
      <w:r w:rsidRPr="00C23AEF">
        <w:rPr>
          <w:rFonts w:asciiTheme="majorBidi" w:hAnsiTheme="majorBidi" w:cstheme="majorBidi"/>
        </w:rPr>
        <w:t xml:space="preserve"> feedback.  </w:t>
      </w:r>
    </w:p>
    <w:p w14:paraId="20E6132A" w14:textId="77777777" w:rsidR="00C23AEF" w:rsidRPr="00C23AEF" w:rsidRDefault="00C23AEF" w:rsidP="00C23AEF">
      <w:pPr>
        <w:rPr>
          <w:rFonts w:asciiTheme="majorBidi" w:hAnsiTheme="majorBidi" w:cstheme="majorBidi"/>
        </w:rPr>
      </w:pPr>
      <w:r w:rsidRPr="00C23AEF">
        <w:rPr>
          <w:rFonts w:asciiTheme="majorBidi" w:hAnsiTheme="majorBidi" w:cstheme="majorBidi"/>
        </w:rPr>
        <w:t xml:space="preserve">The expected outcomes of this activity are: </w:t>
      </w:r>
    </w:p>
    <w:p w14:paraId="3579F9BE" w14:textId="77777777" w:rsidR="00C23AEF" w:rsidRPr="00C23AEF" w:rsidRDefault="00C23AEF" w:rsidP="00C23AEF">
      <w:pPr>
        <w:pStyle w:val="ListParagraph"/>
        <w:numPr>
          <w:ilvl w:val="0"/>
          <w:numId w:val="9"/>
        </w:numPr>
        <w:spacing w:after="0" w:line="240" w:lineRule="auto"/>
        <w:jc w:val="both"/>
        <w:rPr>
          <w:rFonts w:asciiTheme="majorBidi" w:hAnsiTheme="majorBidi" w:cstheme="majorBidi"/>
        </w:rPr>
      </w:pPr>
      <w:r w:rsidRPr="00C23AEF">
        <w:rPr>
          <w:rFonts w:asciiTheme="majorBidi" w:hAnsiTheme="majorBidi" w:cstheme="majorBidi"/>
        </w:rPr>
        <w:t xml:space="preserve">The collaboration of a technical working group to support the transition and implementation of the </w:t>
      </w:r>
      <w:proofErr w:type="spellStart"/>
      <w:r w:rsidRPr="00C23AEF">
        <w:rPr>
          <w:rFonts w:asciiTheme="majorBidi" w:hAnsiTheme="majorBidi" w:cstheme="majorBidi"/>
        </w:rPr>
        <w:t>GoM</w:t>
      </w:r>
      <w:proofErr w:type="spellEnd"/>
      <w:r w:rsidRPr="00C23AEF">
        <w:rPr>
          <w:rFonts w:asciiTheme="majorBidi" w:hAnsiTheme="majorBidi" w:cstheme="majorBidi"/>
        </w:rPr>
        <w:t xml:space="preserve"> housing reform on the supply-side. </w:t>
      </w:r>
    </w:p>
    <w:p w14:paraId="236EAC71" w14:textId="77777777" w:rsidR="00C23AEF" w:rsidRPr="00C23AEF" w:rsidRDefault="00C23AEF" w:rsidP="00C23AEF">
      <w:pPr>
        <w:pStyle w:val="ListParagraph"/>
        <w:numPr>
          <w:ilvl w:val="0"/>
          <w:numId w:val="9"/>
        </w:numPr>
        <w:spacing w:after="0" w:line="240" w:lineRule="auto"/>
        <w:jc w:val="both"/>
        <w:rPr>
          <w:rFonts w:asciiTheme="majorBidi" w:hAnsiTheme="majorBidi" w:cstheme="majorBidi"/>
        </w:rPr>
      </w:pPr>
      <w:r w:rsidRPr="00C23AEF">
        <w:rPr>
          <w:rFonts w:asciiTheme="majorBidi" w:hAnsiTheme="majorBidi" w:cstheme="majorBidi"/>
        </w:rPr>
        <w:t xml:space="preserve">Improvement of the Government’s capacity (including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and </w:t>
      </w:r>
      <w:proofErr w:type="spellStart"/>
      <w:r w:rsidRPr="00C23AEF">
        <w:rPr>
          <w:rFonts w:asciiTheme="majorBidi" w:hAnsiTheme="majorBidi" w:cstheme="majorBidi"/>
        </w:rPr>
        <w:t>MoFP</w:t>
      </w:r>
      <w:proofErr w:type="spellEnd"/>
      <w:r w:rsidRPr="00C23AEF">
        <w:rPr>
          <w:rFonts w:asciiTheme="majorBidi" w:hAnsiTheme="majorBidi" w:cstheme="majorBidi"/>
        </w:rPr>
        <w:t>) capacity in developing supply-side housing policies, programs, and funding for better fiscal sustainability.</w:t>
      </w:r>
    </w:p>
    <w:p w14:paraId="67DA2A4A" w14:textId="77777777" w:rsidR="00C23AEF" w:rsidRPr="00C23AEF" w:rsidRDefault="00C23AEF" w:rsidP="00C23AEF">
      <w:pPr>
        <w:pStyle w:val="ListParagraph"/>
        <w:numPr>
          <w:ilvl w:val="0"/>
          <w:numId w:val="9"/>
        </w:numPr>
        <w:spacing w:after="0" w:line="240" w:lineRule="auto"/>
        <w:rPr>
          <w:rFonts w:asciiTheme="majorBidi" w:hAnsiTheme="majorBidi" w:cstheme="majorBidi"/>
        </w:rPr>
      </w:pPr>
      <w:r w:rsidRPr="00C23AEF">
        <w:rPr>
          <w:rFonts w:asciiTheme="majorBidi" w:hAnsiTheme="majorBidi" w:cstheme="majorBidi"/>
        </w:rPr>
        <w:t xml:space="preserve">Technical guidance on streamlining the Strata-Titling certification process for greater efficiency and effectiveness. </w:t>
      </w:r>
    </w:p>
    <w:p w14:paraId="37953E69" w14:textId="77777777" w:rsidR="00C23AEF" w:rsidRPr="00C23AEF" w:rsidRDefault="00C23AEF" w:rsidP="00C23AEF">
      <w:pPr>
        <w:rPr>
          <w:rFonts w:asciiTheme="majorBidi" w:hAnsiTheme="majorBidi" w:cstheme="majorBidi"/>
        </w:rPr>
      </w:pPr>
    </w:p>
    <w:p w14:paraId="738820B4" w14:textId="77777777" w:rsidR="00C23AEF" w:rsidRPr="00C23AEF" w:rsidRDefault="00C23AEF" w:rsidP="00C23AEF">
      <w:pPr>
        <w:pStyle w:val="Heading2"/>
        <w:numPr>
          <w:ilvl w:val="0"/>
          <w:numId w:val="11"/>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Counterparts and Collaborators</w:t>
      </w:r>
    </w:p>
    <w:p w14:paraId="485B7C12" w14:textId="77777777" w:rsidR="00C23AEF" w:rsidRPr="00C23AEF" w:rsidRDefault="00C23AEF" w:rsidP="00C23AEF">
      <w:pPr>
        <w:widowControl w:val="0"/>
        <w:spacing w:before="52" w:after="60"/>
        <w:jc w:val="both"/>
        <w:rPr>
          <w:rFonts w:asciiTheme="majorBidi" w:hAnsiTheme="majorBidi" w:cstheme="majorBidi"/>
        </w:rPr>
      </w:pPr>
      <w:r w:rsidRPr="00C23AEF">
        <w:rPr>
          <w:rFonts w:asciiTheme="majorBidi" w:hAnsiTheme="majorBidi" w:cstheme="majorBidi"/>
        </w:rPr>
        <w:t xml:space="preserve">The key counterparts of this assignment are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and </w:t>
      </w:r>
      <w:proofErr w:type="spellStart"/>
      <w:r w:rsidRPr="00C23AEF">
        <w:rPr>
          <w:rFonts w:asciiTheme="majorBidi" w:hAnsiTheme="majorBidi" w:cstheme="majorBidi"/>
        </w:rPr>
        <w:t>MoFP</w:t>
      </w:r>
      <w:proofErr w:type="spellEnd"/>
      <w:r w:rsidRPr="00C23AEF">
        <w:rPr>
          <w:rFonts w:asciiTheme="majorBidi" w:hAnsiTheme="majorBidi" w:cstheme="majorBidi"/>
        </w:rPr>
        <w:t xml:space="preserve"> and the consultant firm is expected to provide regular updates to a designated focal point at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at a frequency agreed in a detailed workplan. The consultant firm will be required to actively engage with HDC, FDC, developers, banks, and other relevant housing and planning stakeholders and agencies to gather data, provide feedback, and ensure buy-in and support. </w:t>
      </w:r>
    </w:p>
    <w:p w14:paraId="78B3A0EB" w14:textId="77777777" w:rsidR="00C23AEF" w:rsidRPr="00C23AEF" w:rsidRDefault="00C23AEF" w:rsidP="00C23AEF">
      <w:pPr>
        <w:widowControl w:val="0"/>
        <w:spacing w:before="52" w:after="60"/>
        <w:jc w:val="both"/>
        <w:rPr>
          <w:rFonts w:asciiTheme="majorBidi" w:hAnsiTheme="majorBidi" w:cstheme="majorBidi"/>
        </w:rPr>
      </w:pPr>
    </w:p>
    <w:p w14:paraId="1E31442B" w14:textId="77777777" w:rsidR="00C23AEF" w:rsidRPr="00C23AEF" w:rsidRDefault="00C23AEF" w:rsidP="00C23AEF">
      <w:pPr>
        <w:widowControl w:val="0"/>
        <w:spacing w:before="52" w:after="60"/>
        <w:jc w:val="both"/>
        <w:rPr>
          <w:rFonts w:asciiTheme="majorBidi" w:hAnsiTheme="majorBidi" w:cstheme="majorBidi"/>
        </w:rPr>
      </w:pPr>
      <w:r w:rsidRPr="00C23AEF">
        <w:rPr>
          <w:rFonts w:asciiTheme="majorBidi" w:hAnsiTheme="majorBidi" w:cstheme="majorBidi"/>
          <w:b/>
          <w:bCs/>
        </w:rPr>
        <w:t>Collaborators</w:t>
      </w:r>
      <w:r w:rsidRPr="00C23AEF">
        <w:rPr>
          <w:rFonts w:asciiTheme="majorBidi" w:hAnsiTheme="majorBidi" w:cstheme="majorBidi"/>
        </w:rPr>
        <w:t xml:space="preserve">: </w:t>
      </w:r>
      <w:proofErr w:type="gramStart"/>
      <w:r w:rsidRPr="00C23AEF">
        <w:rPr>
          <w:rFonts w:asciiTheme="majorBidi" w:hAnsiTheme="majorBidi" w:cstheme="majorBidi"/>
        </w:rPr>
        <w:t>Alongside with</w:t>
      </w:r>
      <w:proofErr w:type="gramEnd"/>
      <w:r w:rsidRPr="00C23AEF">
        <w:rPr>
          <w:rFonts w:asciiTheme="majorBidi" w:hAnsiTheme="majorBidi" w:cstheme="majorBidi"/>
        </w:rPr>
        <w:t xml:space="preserve"> this TOR, the MUDRP project will concurrently procure consultancy services for two additional </w:t>
      </w:r>
      <w:proofErr w:type="gramStart"/>
      <w:r w:rsidRPr="00C23AEF">
        <w:rPr>
          <w:rFonts w:asciiTheme="majorBidi" w:hAnsiTheme="majorBidi" w:cstheme="majorBidi"/>
        </w:rPr>
        <w:t>TOR’s</w:t>
      </w:r>
      <w:proofErr w:type="gramEnd"/>
      <w:r w:rsidRPr="00C23AEF">
        <w:rPr>
          <w:rFonts w:asciiTheme="majorBidi" w:hAnsiTheme="majorBidi" w:cstheme="majorBidi"/>
        </w:rPr>
        <w:t xml:space="preserve">: </w:t>
      </w:r>
    </w:p>
    <w:p w14:paraId="6310F591" w14:textId="77777777" w:rsidR="00C23AEF" w:rsidRPr="00C23AEF" w:rsidRDefault="00C23AEF" w:rsidP="00C23AEF">
      <w:pPr>
        <w:pStyle w:val="ListParagraph"/>
        <w:widowControl w:val="0"/>
        <w:numPr>
          <w:ilvl w:val="0"/>
          <w:numId w:val="6"/>
        </w:numPr>
        <w:tabs>
          <w:tab w:val="left" w:pos="851"/>
        </w:tabs>
        <w:spacing w:before="52" w:after="60" w:line="240" w:lineRule="auto"/>
        <w:jc w:val="both"/>
        <w:rPr>
          <w:rFonts w:asciiTheme="majorBidi" w:hAnsiTheme="majorBidi" w:cstheme="majorBidi"/>
        </w:rPr>
      </w:pPr>
      <w:r w:rsidRPr="00C23AEF">
        <w:rPr>
          <w:rFonts w:asciiTheme="majorBidi" w:hAnsiTheme="majorBidi" w:cstheme="majorBidi"/>
        </w:rPr>
        <w:t>TOR #1: Affordable Housing Program Development Survey</w:t>
      </w:r>
    </w:p>
    <w:p w14:paraId="1CA9B49D" w14:textId="77777777" w:rsidR="00C23AEF" w:rsidRPr="00C23AEF" w:rsidRDefault="00C23AEF" w:rsidP="00C23AEF">
      <w:pPr>
        <w:pStyle w:val="ListParagraph"/>
        <w:widowControl w:val="0"/>
        <w:numPr>
          <w:ilvl w:val="0"/>
          <w:numId w:val="6"/>
        </w:numPr>
        <w:tabs>
          <w:tab w:val="left" w:pos="851"/>
        </w:tabs>
        <w:spacing w:before="52" w:after="60" w:line="240" w:lineRule="auto"/>
        <w:jc w:val="both"/>
        <w:rPr>
          <w:rFonts w:asciiTheme="majorBidi" w:hAnsiTheme="majorBidi" w:cstheme="majorBidi"/>
        </w:rPr>
      </w:pPr>
      <w:r w:rsidRPr="00C23AEF">
        <w:rPr>
          <w:rFonts w:asciiTheme="majorBidi" w:hAnsiTheme="majorBidi" w:cstheme="majorBidi"/>
        </w:rPr>
        <w:t xml:space="preserve">TOR #2: Demand-side Affordable Housing Reform Development Roadmap </w:t>
      </w:r>
    </w:p>
    <w:p w14:paraId="3582A4F5" w14:textId="77777777" w:rsidR="00C23AEF" w:rsidRPr="00C23AEF" w:rsidRDefault="00C23AEF" w:rsidP="00C23AEF">
      <w:pPr>
        <w:widowControl w:val="0"/>
        <w:spacing w:before="52" w:after="60"/>
        <w:jc w:val="both"/>
        <w:rPr>
          <w:rFonts w:asciiTheme="majorBidi" w:hAnsiTheme="majorBidi" w:cstheme="majorBidi"/>
        </w:rPr>
      </w:pPr>
      <w:r w:rsidRPr="00C23AEF">
        <w:rPr>
          <w:rFonts w:asciiTheme="majorBidi" w:hAnsiTheme="majorBidi" w:cstheme="majorBidi"/>
        </w:rPr>
        <w:t>The consultant firm will work collaboratively with TOR#2 consultant firm on the following activities and deliverables: (</w:t>
      </w:r>
      <w:proofErr w:type="spellStart"/>
      <w:r w:rsidRPr="00C23AEF">
        <w:rPr>
          <w:rFonts w:asciiTheme="majorBidi" w:hAnsiTheme="majorBidi" w:cstheme="majorBidi"/>
        </w:rPr>
        <w:t>i</w:t>
      </w:r>
      <w:proofErr w:type="spellEnd"/>
      <w:r w:rsidRPr="00C23AEF">
        <w:rPr>
          <w:rFonts w:asciiTheme="majorBidi" w:hAnsiTheme="majorBidi" w:cstheme="majorBidi"/>
        </w:rPr>
        <w:t>) Activity 1.4: The housing sector development roadmap, implementation plan, technical report and others; (ii) Activity 2:  Housing Sector Capacity Building.  The consultant firm will also collaborate with TOR#1 consultant firm to provide (</w:t>
      </w:r>
      <w:proofErr w:type="spellStart"/>
      <w:r w:rsidRPr="00C23AEF">
        <w:rPr>
          <w:rFonts w:asciiTheme="majorBidi" w:hAnsiTheme="majorBidi" w:cstheme="majorBidi"/>
        </w:rPr>
        <w:t>i</w:t>
      </w:r>
      <w:proofErr w:type="spellEnd"/>
      <w:r w:rsidRPr="00C23AEF">
        <w:rPr>
          <w:rFonts w:asciiTheme="majorBidi" w:hAnsiTheme="majorBidi" w:cstheme="majorBidi"/>
        </w:rPr>
        <w:t>) supply-side scenarios for market testing; (ii) support the development of questionnaires and/or participate in FGD’s to explain demand-side concepts, on an as-needed basis.</w:t>
      </w:r>
    </w:p>
    <w:p w14:paraId="6FFF0E23" w14:textId="77777777" w:rsidR="00C23AEF" w:rsidRPr="00C23AEF" w:rsidRDefault="00C23AEF" w:rsidP="00C23AEF">
      <w:pPr>
        <w:widowControl w:val="0"/>
        <w:spacing w:before="52" w:after="60"/>
        <w:jc w:val="both"/>
        <w:rPr>
          <w:rFonts w:asciiTheme="majorBidi" w:hAnsiTheme="majorBidi" w:cstheme="majorBidi"/>
          <w:sz w:val="16"/>
          <w:szCs w:val="16"/>
        </w:rPr>
      </w:pPr>
    </w:p>
    <w:p w14:paraId="26CE4B54" w14:textId="77777777" w:rsidR="00C23AEF" w:rsidRPr="00C23AEF" w:rsidRDefault="00C23AEF" w:rsidP="00C23AEF">
      <w:pPr>
        <w:widowControl w:val="0"/>
        <w:spacing w:before="52" w:after="60"/>
        <w:jc w:val="both"/>
        <w:rPr>
          <w:rFonts w:asciiTheme="majorBidi" w:hAnsiTheme="majorBidi" w:cstheme="majorBidi"/>
        </w:rPr>
      </w:pPr>
      <w:r w:rsidRPr="00C23AEF">
        <w:rPr>
          <w:rFonts w:asciiTheme="majorBidi" w:hAnsiTheme="majorBidi" w:cstheme="majorBidi"/>
          <w:b/>
          <w:bCs/>
        </w:rPr>
        <w:t>Technical Guidance</w:t>
      </w:r>
      <w:proofErr w:type="gramStart"/>
      <w:r w:rsidRPr="00C23AEF">
        <w:rPr>
          <w:rFonts w:asciiTheme="majorBidi" w:hAnsiTheme="majorBidi" w:cstheme="majorBidi"/>
        </w:rPr>
        <w:t>:  The</w:t>
      </w:r>
      <w:proofErr w:type="gramEnd"/>
      <w:r w:rsidRPr="00C23AEF">
        <w:rPr>
          <w:rFonts w:asciiTheme="majorBidi" w:hAnsiTheme="majorBidi" w:cstheme="majorBidi"/>
        </w:rPr>
        <w:t xml:space="preserve"> World Bank MUDRP task team will provide technical guidance throughout this study. </w:t>
      </w:r>
    </w:p>
    <w:p w14:paraId="532C9DAC" w14:textId="77777777" w:rsidR="00C23AEF" w:rsidRPr="00C23AEF" w:rsidRDefault="00C23AEF" w:rsidP="00C23AEF">
      <w:pPr>
        <w:widowControl w:val="0"/>
        <w:spacing w:before="52" w:after="60"/>
        <w:jc w:val="both"/>
        <w:rPr>
          <w:rFonts w:asciiTheme="majorBidi" w:hAnsiTheme="majorBidi" w:cstheme="majorBidi"/>
        </w:rPr>
      </w:pPr>
    </w:p>
    <w:p w14:paraId="71A9A640" w14:textId="77777777" w:rsidR="00C23AEF" w:rsidRPr="00C23AEF" w:rsidRDefault="00C23AEF" w:rsidP="00C23AEF">
      <w:pPr>
        <w:pStyle w:val="Heading2"/>
        <w:numPr>
          <w:ilvl w:val="0"/>
          <w:numId w:val="11"/>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Scope of Work</w:t>
      </w:r>
    </w:p>
    <w:p w14:paraId="145BCC21" w14:textId="77777777" w:rsidR="00C23AEF" w:rsidRPr="00C23AEF" w:rsidRDefault="00C23AEF" w:rsidP="00C23AEF">
      <w:pPr>
        <w:rPr>
          <w:rFonts w:asciiTheme="majorBidi" w:hAnsiTheme="majorBidi" w:cstheme="majorBidi"/>
        </w:rPr>
      </w:pPr>
    </w:p>
    <w:p w14:paraId="06F969C8" w14:textId="3B981FD6" w:rsidR="00C23AEF" w:rsidRPr="00C23AEF" w:rsidRDefault="00C23AEF" w:rsidP="00C23AEF">
      <w:pPr>
        <w:rPr>
          <w:rFonts w:asciiTheme="majorBidi" w:hAnsiTheme="majorBidi" w:cstheme="majorBidi"/>
          <w:b/>
          <w:bCs/>
          <w:u w:val="single"/>
        </w:rPr>
      </w:pPr>
      <w:r w:rsidRPr="00C23AEF">
        <w:rPr>
          <w:rFonts w:asciiTheme="majorBidi" w:hAnsiTheme="majorBidi" w:cstheme="majorBidi"/>
          <w:b/>
          <w:bCs/>
          <w:u w:val="single"/>
        </w:rPr>
        <w:t>Activity 1</w:t>
      </w:r>
      <w:proofErr w:type="gramStart"/>
      <w:r w:rsidRPr="00C23AEF">
        <w:rPr>
          <w:rFonts w:asciiTheme="majorBidi" w:hAnsiTheme="majorBidi" w:cstheme="majorBidi"/>
          <w:b/>
          <w:bCs/>
          <w:u w:val="single"/>
        </w:rPr>
        <w:t>:  Recommendation</w:t>
      </w:r>
      <w:proofErr w:type="gramEnd"/>
      <w:r w:rsidRPr="00C23AEF">
        <w:rPr>
          <w:rFonts w:asciiTheme="majorBidi" w:hAnsiTheme="majorBidi" w:cstheme="majorBidi"/>
          <w:b/>
          <w:bCs/>
          <w:u w:val="single"/>
        </w:rPr>
        <w:t xml:space="preserve"> of Supply-Side Interventions for Affordable Housing </w:t>
      </w:r>
    </w:p>
    <w:p w14:paraId="441C43E2" w14:textId="59A87AAE" w:rsidR="00C23AEF" w:rsidRPr="00C23AEF" w:rsidRDefault="00C23AEF" w:rsidP="00C23AEF">
      <w:pPr>
        <w:jc w:val="both"/>
        <w:rPr>
          <w:rFonts w:asciiTheme="majorBidi" w:hAnsiTheme="majorBidi" w:cstheme="majorBidi"/>
        </w:rPr>
      </w:pPr>
      <w:r w:rsidRPr="00C23AEF">
        <w:rPr>
          <w:rFonts w:asciiTheme="majorBidi" w:hAnsiTheme="majorBidi" w:cstheme="majorBidi"/>
        </w:rPr>
        <w:t>This activity aims to evaluate and recommend alternative scenarios for transitioning the current government social housing development scheme into more progressive supply-side interventions, based on international affordable housing delivery system best practices, robust analytics and market feedback.</w:t>
      </w:r>
    </w:p>
    <w:p w14:paraId="3F7F3F46" w14:textId="6FF9B52D" w:rsidR="00C23AEF" w:rsidRPr="00C23AEF" w:rsidRDefault="00C23AEF" w:rsidP="00C23AEF">
      <w:pPr>
        <w:jc w:val="both"/>
        <w:rPr>
          <w:rFonts w:asciiTheme="majorBidi" w:hAnsiTheme="majorBidi" w:cstheme="majorBidi"/>
        </w:rPr>
      </w:pPr>
      <w:r w:rsidRPr="00C23AEF">
        <w:rPr>
          <w:rFonts w:asciiTheme="majorBidi" w:hAnsiTheme="majorBidi" w:cstheme="majorBidi"/>
        </w:rPr>
        <w:lastRenderedPageBreak/>
        <w:t>Supply-side intervention options will look to engage private developers using PPP principles</w:t>
      </w:r>
      <w:r w:rsidRPr="00C23AEF">
        <w:rPr>
          <w:rStyle w:val="FootnoteReference"/>
          <w:rFonts w:asciiTheme="majorBidi" w:hAnsiTheme="majorBidi" w:cstheme="majorBidi"/>
        </w:rPr>
        <w:footnoteReference w:id="4"/>
      </w:r>
      <w:r w:rsidRPr="00C23AEF">
        <w:rPr>
          <w:rFonts w:asciiTheme="majorBidi" w:hAnsiTheme="majorBidi" w:cstheme="majorBidi"/>
        </w:rPr>
        <w:t xml:space="preserve"> for affordable housing development such as:</w:t>
      </w:r>
    </w:p>
    <w:p w14:paraId="0FAB3C12"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Revenues sharing</w:t>
      </w:r>
    </w:p>
    <w:p w14:paraId="372C37A3"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Performance-based contracts</w:t>
      </w:r>
    </w:p>
    <w:p w14:paraId="365F2B6D"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Land Swap, Development Rights</w:t>
      </w:r>
    </w:p>
    <w:p w14:paraId="7C11CBD0"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Inclusionary Housing Requirements</w:t>
      </w:r>
    </w:p>
    <w:p w14:paraId="51C4D4E3"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Cooperatives and others</w:t>
      </w:r>
    </w:p>
    <w:p w14:paraId="0727D8B8"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Voucher based systems (for rental)</w:t>
      </w:r>
    </w:p>
    <w:p w14:paraId="1EB1AC90" w14:textId="77777777"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Home ownership rights</w:t>
      </w:r>
    </w:p>
    <w:p w14:paraId="2AE37D2C" w14:textId="47B46E56" w:rsidR="00C23AEF" w:rsidRPr="00C23AEF" w:rsidRDefault="00C23AEF" w:rsidP="00C23AEF">
      <w:pPr>
        <w:pStyle w:val="ListParagraph"/>
        <w:numPr>
          <w:ilvl w:val="0"/>
          <w:numId w:val="3"/>
        </w:numPr>
        <w:tabs>
          <w:tab w:val="left" w:pos="851"/>
        </w:tabs>
        <w:spacing w:after="0"/>
        <w:rPr>
          <w:rFonts w:asciiTheme="majorBidi" w:hAnsiTheme="majorBidi" w:cstheme="majorBidi"/>
        </w:rPr>
      </w:pPr>
      <w:r w:rsidRPr="00C23AEF">
        <w:rPr>
          <w:rFonts w:asciiTheme="majorBidi" w:hAnsiTheme="majorBidi" w:cstheme="majorBidi"/>
        </w:rPr>
        <w:t xml:space="preserve">Others </w:t>
      </w:r>
    </w:p>
    <w:p w14:paraId="335C4B31" w14:textId="70C200CE" w:rsidR="00C23AEF" w:rsidRPr="00C23AEF" w:rsidRDefault="00C23AEF" w:rsidP="00940C96">
      <w:pPr>
        <w:tabs>
          <w:tab w:val="left" w:pos="851"/>
        </w:tabs>
        <w:jc w:val="both"/>
        <w:rPr>
          <w:rFonts w:asciiTheme="majorBidi" w:hAnsiTheme="majorBidi" w:cstheme="majorBidi"/>
        </w:rPr>
      </w:pPr>
      <w:r w:rsidRPr="00C23AEF">
        <w:rPr>
          <w:rFonts w:asciiTheme="majorBidi" w:hAnsiTheme="majorBidi" w:cstheme="majorBidi"/>
        </w:rPr>
        <w:t xml:space="preserve">For the low-income segment where households may not have access to bank loans, rental vouchers or other forms of government support are to be calculated.  A study on public rental or council housing is being developed by another consultant firm and the study will be shared in due course. </w:t>
      </w:r>
    </w:p>
    <w:p w14:paraId="5C3B1963" w14:textId="2F773E74" w:rsidR="00C23AEF" w:rsidRPr="00C23AEF" w:rsidRDefault="00C23AEF" w:rsidP="00C23AEF">
      <w:pPr>
        <w:tabs>
          <w:tab w:val="left" w:pos="851"/>
        </w:tabs>
        <w:jc w:val="both"/>
        <w:rPr>
          <w:rFonts w:asciiTheme="majorBidi" w:hAnsiTheme="majorBidi" w:cstheme="majorBidi"/>
        </w:rPr>
      </w:pPr>
      <w:r w:rsidRPr="00C23AEF">
        <w:rPr>
          <w:rFonts w:asciiTheme="majorBidi" w:hAnsiTheme="majorBidi" w:cstheme="majorBidi"/>
        </w:rPr>
        <w:t>Key aspects of this activity include:</w:t>
      </w:r>
    </w:p>
    <w:p w14:paraId="6249D549" w14:textId="77777777" w:rsidR="00C23AEF" w:rsidRPr="00C23AEF" w:rsidRDefault="00C23AEF" w:rsidP="00C23AEF">
      <w:pPr>
        <w:pStyle w:val="ListParagraph"/>
        <w:numPr>
          <w:ilvl w:val="0"/>
          <w:numId w:val="10"/>
        </w:numPr>
        <w:spacing w:after="0" w:line="240" w:lineRule="auto"/>
        <w:jc w:val="both"/>
        <w:rPr>
          <w:rFonts w:asciiTheme="majorBidi" w:hAnsiTheme="majorBidi" w:cstheme="majorBidi"/>
          <w:b/>
          <w:bCs/>
          <w:i/>
          <w:iCs/>
        </w:rPr>
      </w:pPr>
      <w:r w:rsidRPr="00C23AEF">
        <w:rPr>
          <w:rFonts w:asciiTheme="majorBidi" w:hAnsiTheme="majorBidi" w:cstheme="majorBidi"/>
          <w:b/>
          <w:bCs/>
          <w:i/>
          <w:iCs/>
        </w:rPr>
        <w:t>Alternative Housing Supply-side Housing Models and Interventions</w:t>
      </w:r>
    </w:p>
    <w:p w14:paraId="4588480E" w14:textId="77777777" w:rsidR="00C23AEF" w:rsidRPr="00C23AEF" w:rsidRDefault="00C23AEF" w:rsidP="00C23AEF">
      <w:pPr>
        <w:ind w:left="360"/>
        <w:jc w:val="both"/>
        <w:rPr>
          <w:rFonts w:asciiTheme="majorBidi" w:hAnsiTheme="majorBidi" w:cstheme="majorBidi"/>
          <w:sz w:val="16"/>
          <w:szCs w:val="16"/>
        </w:rPr>
      </w:pPr>
    </w:p>
    <w:p w14:paraId="18412891" w14:textId="77777777"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This sub-activity aims to design and evaluate alternative supply-side housing schemes which are private sector led and tailored to the Maldives' small-scale context. The consultant will:</w:t>
      </w:r>
    </w:p>
    <w:p w14:paraId="16BDF03C" w14:textId="77777777" w:rsidR="00C23AEF" w:rsidRPr="00C23AEF" w:rsidRDefault="00C23AEF" w:rsidP="00C23AEF">
      <w:pPr>
        <w:numPr>
          <w:ilvl w:val="0"/>
          <w:numId w:val="15"/>
        </w:numPr>
        <w:spacing w:after="0" w:line="240" w:lineRule="auto"/>
        <w:jc w:val="both"/>
        <w:rPr>
          <w:rFonts w:asciiTheme="majorBidi" w:hAnsiTheme="majorBidi" w:cstheme="majorBidi"/>
        </w:rPr>
      </w:pPr>
      <w:r w:rsidRPr="00C23AEF">
        <w:rPr>
          <w:rFonts w:asciiTheme="majorBidi" w:hAnsiTheme="majorBidi" w:cstheme="majorBidi"/>
          <w:b/>
          <w:bCs/>
        </w:rPr>
        <w:t>Analyze the Current Housing Construction Sector</w:t>
      </w:r>
      <w:r w:rsidRPr="00C23AEF">
        <w:rPr>
          <w:rFonts w:asciiTheme="majorBidi" w:hAnsiTheme="majorBidi" w:cstheme="majorBidi"/>
        </w:rPr>
        <w:t xml:space="preserve"> – Work closely with private developers and housing stakeholders to map the existing housing development landscape, collect and assess all construction cost components, identify constraints, and explore opportunities for reform.</w:t>
      </w:r>
    </w:p>
    <w:p w14:paraId="0FB5F20F" w14:textId="77777777" w:rsidR="00C23AEF" w:rsidRPr="00C23AEF" w:rsidRDefault="00C23AEF" w:rsidP="00C23AEF">
      <w:pPr>
        <w:numPr>
          <w:ilvl w:val="0"/>
          <w:numId w:val="15"/>
        </w:numPr>
        <w:spacing w:after="0" w:line="240" w:lineRule="auto"/>
        <w:jc w:val="both"/>
        <w:rPr>
          <w:rFonts w:asciiTheme="majorBidi" w:hAnsiTheme="majorBidi" w:cstheme="majorBidi"/>
        </w:rPr>
      </w:pPr>
      <w:r w:rsidRPr="00C23AEF">
        <w:rPr>
          <w:rFonts w:asciiTheme="majorBidi" w:hAnsiTheme="majorBidi" w:cstheme="majorBidi"/>
          <w:b/>
          <w:bCs/>
        </w:rPr>
        <w:t>Develop Alternative Housing Provision Scenarios</w:t>
      </w:r>
      <w:r w:rsidRPr="00C23AEF">
        <w:rPr>
          <w:rFonts w:asciiTheme="majorBidi" w:hAnsiTheme="majorBidi" w:cstheme="majorBidi"/>
        </w:rPr>
        <w:t xml:space="preserve"> – Consider all aspects of housing construction, including land availability, permitting, construction materials, labor, and financing, to ensure affordability. Assess the capacity of local developers and the potential for joint ventures with international partners.</w:t>
      </w:r>
    </w:p>
    <w:p w14:paraId="5213EF22" w14:textId="77777777" w:rsidR="00C23AEF" w:rsidRPr="00C23AEF" w:rsidRDefault="00C23AEF" w:rsidP="00C23AEF">
      <w:pPr>
        <w:numPr>
          <w:ilvl w:val="0"/>
          <w:numId w:val="15"/>
        </w:numPr>
        <w:spacing w:after="0" w:line="240" w:lineRule="auto"/>
        <w:jc w:val="both"/>
        <w:rPr>
          <w:rFonts w:asciiTheme="majorBidi" w:hAnsiTheme="majorBidi" w:cstheme="majorBidi"/>
        </w:rPr>
      </w:pPr>
      <w:r w:rsidRPr="00C23AEF">
        <w:rPr>
          <w:rFonts w:asciiTheme="majorBidi" w:hAnsiTheme="majorBidi" w:cstheme="majorBidi"/>
          <w:b/>
          <w:bCs/>
        </w:rPr>
        <w:t>Design Financial Models</w:t>
      </w:r>
      <w:r w:rsidRPr="00C23AEF">
        <w:rPr>
          <w:rFonts w:asciiTheme="majorBidi" w:hAnsiTheme="majorBidi" w:cstheme="majorBidi"/>
        </w:rPr>
        <w:t xml:space="preserve"> – Develop financial structures that account for risk and return differentials for public and private sector stakeholders while ensuring consumer affordability.</w:t>
      </w:r>
    </w:p>
    <w:p w14:paraId="61C9C257" w14:textId="77777777" w:rsidR="00C23AEF" w:rsidRPr="00C23AEF" w:rsidRDefault="00C23AEF" w:rsidP="00C23AEF">
      <w:pPr>
        <w:numPr>
          <w:ilvl w:val="0"/>
          <w:numId w:val="15"/>
        </w:numPr>
        <w:spacing w:after="0" w:line="240" w:lineRule="auto"/>
        <w:jc w:val="both"/>
        <w:rPr>
          <w:rFonts w:asciiTheme="majorBidi" w:hAnsiTheme="majorBidi" w:cstheme="majorBidi"/>
        </w:rPr>
      </w:pPr>
      <w:r w:rsidRPr="00C23AEF">
        <w:rPr>
          <w:rFonts w:asciiTheme="majorBidi" w:hAnsiTheme="majorBidi" w:cstheme="majorBidi"/>
          <w:b/>
          <w:bCs/>
        </w:rPr>
        <w:t>Conduct Cost-Benefit Analysis</w:t>
      </w:r>
      <w:r w:rsidRPr="00C23AEF">
        <w:rPr>
          <w:rFonts w:asciiTheme="majorBidi" w:hAnsiTheme="majorBidi" w:cstheme="majorBidi"/>
        </w:rPr>
        <w:t xml:space="preserve"> – Compare the effectiveness of different housing schemes and interventions against the business-as-usual scenario to determine the most viable approaches.</w:t>
      </w:r>
    </w:p>
    <w:p w14:paraId="14317F64" w14:textId="77777777" w:rsidR="00C23AEF" w:rsidRPr="00C23AEF" w:rsidRDefault="00C23AEF" w:rsidP="00C23AEF">
      <w:pPr>
        <w:numPr>
          <w:ilvl w:val="0"/>
          <w:numId w:val="15"/>
        </w:numPr>
        <w:spacing w:after="0" w:line="240" w:lineRule="auto"/>
        <w:jc w:val="both"/>
        <w:rPr>
          <w:rFonts w:asciiTheme="majorBidi" w:hAnsiTheme="majorBidi" w:cstheme="majorBidi"/>
        </w:rPr>
      </w:pPr>
      <w:r w:rsidRPr="00C23AEF">
        <w:rPr>
          <w:rFonts w:asciiTheme="majorBidi" w:hAnsiTheme="majorBidi" w:cstheme="majorBidi"/>
          <w:b/>
          <w:bCs/>
        </w:rPr>
        <w:t>Define Development Potential</w:t>
      </w:r>
      <w:r w:rsidRPr="00C23AEF">
        <w:rPr>
          <w:rFonts w:asciiTheme="majorBidi" w:hAnsiTheme="majorBidi" w:cstheme="majorBidi"/>
        </w:rPr>
        <w:t xml:space="preserve"> – Clearly outline the potential housing volume achievable under each proposed scenario, along with a list of essential government requirements.</w:t>
      </w:r>
    </w:p>
    <w:p w14:paraId="373B75DA" w14:textId="2CDFC5BB"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All supply-side recommendations will be developed for different income housing segments and for alternative housing typologies, for both Greater Male and the atolls.  The recommendations will be based on rigorous analytical work to ensure feasibility and effectiveness in driving private sector engagement and housing market improvements.</w:t>
      </w:r>
    </w:p>
    <w:p w14:paraId="4B1790EC" w14:textId="1FB154E7" w:rsidR="00C23AEF" w:rsidRPr="00C23AEF" w:rsidRDefault="00C23AEF" w:rsidP="00C23AEF">
      <w:pPr>
        <w:ind w:left="360"/>
        <w:jc w:val="both"/>
        <w:rPr>
          <w:rFonts w:asciiTheme="majorBidi" w:hAnsiTheme="majorBidi" w:cstheme="majorBidi"/>
          <w:i/>
          <w:iCs/>
        </w:rPr>
      </w:pPr>
      <w:r w:rsidRPr="00C23AEF">
        <w:rPr>
          <w:rFonts w:asciiTheme="majorBidi" w:hAnsiTheme="majorBidi" w:cstheme="majorBidi"/>
          <w:i/>
          <w:iCs/>
        </w:rPr>
        <w:t xml:space="preserve">The Consultant will collaborate with the TOR #1 Consultant to test the feasibility of the supply-side housing intervention scenarios. </w:t>
      </w:r>
    </w:p>
    <w:p w14:paraId="621F9429" w14:textId="77777777" w:rsidR="00C23AEF" w:rsidRPr="00C23AEF" w:rsidRDefault="00C23AEF" w:rsidP="00C23AEF">
      <w:pPr>
        <w:pStyle w:val="ListParagraph"/>
        <w:numPr>
          <w:ilvl w:val="0"/>
          <w:numId w:val="10"/>
        </w:numPr>
        <w:spacing w:after="0" w:line="240" w:lineRule="auto"/>
        <w:jc w:val="both"/>
        <w:rPr>
          <w:rFonts w:asciiTheme="majorBidi" w:hAnsiTheme="majorBidi" w:cstheme="majorBidi"/>
          <w:b/>
          <w:bCs/>
          <w:i/>
          <w:iCs/>
        </w:rPr>
      </w:pPr>
      <w:r w:rsidRPr="00C23AEF">
        <w:rPr>
          <w:rFonts w:asciiTheme="majorBidi" w:hAnsiTheme="majorBidi" w:cstheme="majorBidi"/>
          <w:b/>
          <w:bCs/>
          <w:i/>
          <w:iCs/>
        </w:rPr>
        <w:t>Legal and Regulatory Review for Affordable Housing Reform recommendations</w:t>
      </w:r>
    </w:p>
    <w:p w14:paraId="7083CE58" w14:textId="77777777"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 xml:space="preserve">This sub-activity involves a comprehensive assessment of the legal, contractual, and regulatory framework governing the affordable housing sector to identify key constraints. A critical issue, the </w:t>
      </w:r>
      <w:r w:rsidRPr="00C23AEF">
        <w:rPr>
          <w:rFonts w:asciiTheme="majorBidi" w:hAnsiTheme="majorBidi" w:cstheme="majorBidi"/>
        </w:rPr>
        <w:lastRenderedPageBreak/>
        <w:t xml:space="preserve">inefficiency of the strata titling registration system, has been identified as a major barrier to real estate market development and will be specifically addressed under </w:t>
      </w:r>
      <w:r w:rsidRPr="00C23AEF">
        <w:rPr>
          <w:rFonts w:asciiTheme="majorBidi" w:hAnsiTheme="majorBidi" w:cstheme="majorBidi"/>
          <w:b/>
          <w:bCs/>
        </w:rPr>
        <w:t>Activity 3</w:t>
      </w:r>
      <w:r w:rsidRPr="00C23AEF">
        <w:rPr>
          <w:rFonts w:asciiTheme="majorBidi" w:hAnsiTheme="majorBidi" w:cstheme="majorBidi"/>
        </w:rPr>
        <w:t>.</w:t>
      </w:r>
    </w:p>
    <w:p w14:paraId="0B9003ED" w14:textId="77777777"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To support the implementation of alternative housing solutions, the Consultant will:</w:t>
      </w:r>
    </w:p>
    <w:p w14:paraId="2EF35B9D" w14:textId="77777777" w:rsidR="00C23AEF" w:rsidRPr="00C23AEF" w:rsidRDefault="00C23AEF" w:rsidP="00C23AEF">
      <w:pPr>
        <w:numPr>
          <w:ilvl w:val="0"/>
          <w:numId w:val="16"/>
        </w:numPr>
        <w:spacing w:after="0" w:line="240" w:lineRule="auto"/>
        <w:jc w:val="both"/>
        <w:rPr>
          <w:rFonts w:asciiTheme="majorBidi" w:hAnsiTheme="majorBidi" w:cstheme="majorBidi"/>
        </w:rPr>
      </w:pPr>
      <w:r w:rsidRPr="00C23AEF">
        <w:rPr>
          <w:rFonts w:asciiTheme="majorBidi" w:hAnsiTheme="majorBidi" w:cstheme="majorBidi"/>
          <w:b/>
          <w:bCs/>
        </w:rPr>
        <w:t>Identify Binding Constraints</w:t>
      </w:r>
      <w:r w:rsidRPr="00C23AEF">
        <w:rPr>
          <w:rFonts w:asciiTheme="majorBidi" w:hAnsiTheme="majorBidi" w:cstheme="majorBidi"/>
        </w:rPr>
        <w:t xml:space="preserve"> – Review existing laws, policies, and contractual frameworks to pinpoint legal and regulatory barriers hindering affordable housing development.</w:t>
      </w:r>
    </w:p>
    <w:p w14:paraId="490E5892" w14:textId="77777777" w:rsidR="00C23AEF" w:rsidRPr="00C23AEF" w:rsidRDefault="00C23AEF" w:rsidP="00C23AEF">
      <w:pPr>
        <w:numPr>
          <w:ilvl w:val="0"/>
          <w:numId w:val="16"/>
        </w:numPr>
        <w:spacing w:after="0" w:line="240" w:lineRule="auto"/>
        <w:jc w:val="both"/>
        <w:rPr>
          <w:rFonts w:asciiTheme="majorBidi" w:hAnsiTheme="majorBidi" w:cstheme="majorBidi"/>
        </w:rPr>
      </w:pPr>
      <w:r w:rsidRPr="00C23AEF">
        <w:rPr>
          <w:rFonts w:asciiTheme="majorBidi" w:hAnsiTheme="majorBidi" w:cstheme="majorBidi"/>
          <w:b/>
          <w:bCs/>
        </w:rPr>
        <w:t>Recommend Legal Adjustments</w:t>
      </w:r>
      <w:r w:rsidRPr="00C23AEF">
        <w:rPr>
          <w:rFonts w:asciiTheme="majorBidi" w:hAnsiTheme="majorBidi" w:cstheme="majorBidi"/>
        </w:rPr>
        <w:t xml:space="preserve"> – Propose necessary legislative, regulatory, or policy changes to enable effective implementation of proposed solutions.</w:t>
      </w:r>
    </w:p>
    <w:p w14:paraId="4668BE44" w14:textId="77777777" w:rsidR="00C23AEF" w:rsidRPr="00C23AEF" w:rsidRDefault="00C23AEF" w:rsidP="00C23AEF">
      <w:pPr>
        <w:numPr>
          <w:ilvl w:val="0"/>
          <w:numId w:val="16"/>
        </w:numPr>
        <w:spacing w:after="0" w:line="240" w:lineRule="auto"/>
        <w:jc w:val="both"/>
        <w:rPr>
          <w:rFonts w:asciiTheme="majorBidi" w:hAnsiTheme="majorBidi" w:cstheme="majorBidi"/>
        </w:rPr>
      </w:pPr>
      <w:r w:rsidRPr="00C23AEF">
        <w:rPr>
          <w:rFonts w:asciiTheme="majorBidi" w:hAnsiTheme="majorBidi" w:cstheme="majorBidi"/>
          <w:b/>
          <w:bCs/>
        </w:rPr>
        <w:t>Ensure Sustainable Implementation</w:t>
      </w:r>
      <w:r w:rsidRPr="00C23AEF">
        <w:rPr>
          <w:rFonts w:asciiTheme="majorBidi" w:hAnsiTheme="majorBidi" w:cstheme="majorBidi"/>
        </w:rPr>
        <w:t xml:space="preserve"> – Develop recommendations for a robust and sustainable housing provisioning framework that aligns with best practices and fosters private sector participation.</w:t>
      </w:r>
    </w:p>
    <w:p w14:paraId="3EC6FBEA" w14:textId="7112DDB5"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This legal and regulatory review will serve as the foundation for actionable reforms to improve housing accessibility and market efficiency.</w:t>
      </w:r>
    </w:p>
    <w:p w14:paraId="72BB20D0" w14:textId="77777777" w:rsidR="00C23AEF" w:rsidRPr="00C23AEF" w:rsidRDefault="00C23AEF" w:rsidP="00C23AEF">
      <w:pPr>
        <w:pStyle w:val="ListParagraph"/>
        <w:numPr>
          <w:ilvl w:val="0"/>
          <w:numId w:val="10"/>
        </w:numPr>
        <w:spacing w:after="0" w:line="240" w:lineRule="auto"/>
        <w:jc w:val="both"/>
        <w:rPr>
          <w:rFonts w:asciiTheme="majorBidi" w:hAnsiTheme="majorBidi" w:cstheme="majorBidi"/>
          <w:b/>
          <w:bCs/>
          <w:i/>
          <w:iCs/>
        </w:rPr>
      </w:pPr>
      <w:r w:rsidRPr="00C23AEF">
        <w:rPr>
          <w:rFonts w:asciiTheme="majorBidi" w:hAnsiTheme="majorBidi" w:cstheme="majorBidi"/>
          <w:b/>
          <w:bCs/>
          <w:i/>
          <w:iCs/>
        </w:rPr>
        <w:t xml:space="preserve">Institutional Arrangement Review and Implementation Recommendations. </w:t>
      </w:r>
    </w:p>
    <w:p w14:paraId="224C8529" w14:textId="7BD06701"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This sub-activity aims to evaluate the existing institutional framework governing housing development in the Maldives and recommend necessary adjustments to support alternative supply-side affordable housing scenarios.</w:t>
      </w:r>
    </w:p>
    <w:p w14:paraId="68CF5F10" w14:textId="050C941E"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The Consultant will map and clarify the roles, responsibilities, and coordination mechanisms among key institutions, including: (</w:t>
      </w:r>
      <w:proofErr w:type="spellStart"/>
      <w:r w:rsidRPr="00C23AEF">
        <w:rPr>
          <w:rFonts w:asciiTheme="majorBidi" w:hAnsiTheme="majorBidi" w:cstheme="majorBidi"/>
        </w:rPr>
        <w:t>i</w:t>
      </w:r>
      <w:proofErr w:type="spellEnd"/>
      <w:r w:rsidRPr="00C23AEF">
        <w:rPr>
          <w:rFonts w:asciiTheme="majorBidi" w:hAnsiTheme="majorBidi" w:cstheme="majorBidi"/>
        </w:rPr>
        <w:t xml:space="preserve">)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 Oversees housing regulations, policies, and programs on both the supply and demand sides; (ii) </w:t>
      </w:r>
      <w:proofErr w:type="spellStart"/>
      <w:r w:rsidRPr="00C23AEF">
        <w:rPr>
          <w:rFonts w:asciiTheme="majorBidi" w:hAnsiTheme="majorBidi" w:cstheme="majorBidi"/>
        </w:rPr>
        <w:t>MoFP</w:t>
      </w:r>
      <w:proofErr w:type="spellEnd"/>
      <w:r w:rsidRPr="00C23AEF">
        <w:rPr>
          <w:rFonts w:asciiTheme="majorBidi" w:hAnsiTheme="majorBidi" w:cstheme="majorBidi"/>
        </w:rPr>
        <w:t xml:space="preserve"> – Manages fiscal planning for housing through its Fiscal Affairs Department and Planning Department (recently integrated into </w:t>
      </w:r>
      <w:proofErr w:type="spellStart"/>
      <w:r w:rsidRPr="00C23AEF">
        <w:rPr>
          <w:rFonts w:asciiTheme="majorBidi" w:hAnsiTheme="majorBidi" w:cstheme="majorBidi"/>
        </w:rPr>
        <w:t>MoFP</w:t>
      </w:r>
      <w:proofErr w:type="spellEnd"/>
      <w:r w:rsidRPr="00C23AEF">
        <w:rPr>
          <w:rFonts w:asciiTheme="majorBidi" w:hAnsiTheme="majorBidi" w:cstheme="majorBidi"/>
        </w:rPr>
        <w:t>); (iii) State-Owned Enterprises (HDC and FDC) – Serve as implementing agencies for housing development.</w:t>
      </w:r>
    </w:p>
    <w:p w14:paraId="767EDD79" w14:textId="77777777"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To support alternative supply-side housing schemes, the Consultant will propose an optimized institutional framework that:</w:t>
      </w:r>
    </w:p>
    <w:p w14:paraId="7C03640A" w14:textId="77777777" w:rsidR="00C23AEF" w:rsidRPr="00C23AEF" w:rsidRDefault="00C23AEF" w:rsidP="00C23AEF">
      <w:pPr>
        <w:numPr>
          <w:ilvl w:val="0"/>
          <w:numId w:val="17"/>
        </w:numPr>
        <w:spacing w:after="0" w:line="240" w:lineRule="auto"/>
        <w:jc w:val="both"/>
        <w:rPr>
          <w:rFonts w:asciiTheme="majorBidi" w:hAnsiTheme="majorBidi" w:cstheme="majorBidi"/>
        </w:rPr>
      </w:pPr>
      <w:r w:rsidRPr="00C23AEF">
        <w:rPr>
          <w:rFonts w:asciiTheme="majorBidi" w:hAnsiTheme="majorBidi" w:cstheme="majorBidi"/>
        </w:rPr>
        <w:t>Addresses financial risks and complexities associated with large-scale affordable housing development.</w:t>
      </w:r>
    </w:p>
    <w:p w14:paraId="2921C1DB" w14:textId="77777777" w:rsidR="00C23AEF" w:rsidRPr="00C23AEF" w:rsidRDefault="00C23AEF" w:rsidP="00C23AEF">
      <w:pPr>
        <w:numPr>
          <w:ilvl w:val="0"/>
          <w:numId w:val="17"/>
        </w:numPr>
        <w:spacing w:after="0" w:line="240" w:lineRule="auto"/>
        <w:jc w:val="both"/>
        <w:rPr>
          <w:rFonts w:asciiTheme="majorBidi" w:hAnsiTheme="majorBidi" w:cstheme="majorBidi"/>
        </w:rPr>
      </w:pPr>
      <w:r w:rsidRPr="00C23AEF">
        <w:rPr>
          <w:rFonts w:asciiTheme="majorBidi" w:hAnsiTheme="majorBidi" w:cstheme="majorBidi"/>
        </w:rPr>
        <w:t>Defines a governance structure that ensures accountability, transparency, and efficiency.</w:t>
      </w:r>
    </w:p>
    <w:p w14:paraId="0F16A988" w14:textId="77777777" w:rsidR="00C23AEF" w:rsidRPr="00C23AEF" w:rsidRDefault="00C23AEF" w:rsidP="00C23AEF">
      <w:pPr>
        <w:numPr>
          <w:ilvl w:val="0"/>
          <w:numId w:val="17"/>
        </w:numPr>
        <w:spacing w:after="0" w:line="240" w:lineRule="auto"/>
        <w:jc w:val="both"/>
        <w:rPr>
          <w:rFonts w:asciiTheme="majorBidi" w:hAnsiTheme="majorBidi" w:cstheme="majorBidi"/>
        </w:rPr>
      </w:pPr>
      <w:r w:rsidRPr="00C23AEF">
        <w:rPr>
          <w:rFonts w:asciiTheme="majorBidi" w:hAnsiTheme="majorBidi" w:cstheme="majorBidi"/>
        </w:rPr>
        <w:t>Clarifies operational mandates, including responsibilities for project development, maintenance, operation and long-term repair.</w:t>
      </w:r>
    </w:p>
    <w:p w14:paraId="73727802" w14:textId="77777777" w:rsidR="00C23AEF" w:rsidRPr="00C23AEF" w:rsidRDefault="00C23AEF" w:rsidP="00C23AEF">
      <w:pPr>
        <w:numPr>
          <w:ilvl w:val="0"/>
          <w:numId w:val="17"/>
        </w:numPr>
        <w:spacing w:after="0" w:line="240" w:lineRule="auto"/>
        <w:jc w:val="both"/>
        <w:rPr>
          <w:rFonts w:asciiTheme="majorBidi" w:hAnsiTheme="majorBidi" w:cstheme="majorBidi"/>
        </w:rPr>
      </w:pPr>
      <w:r w:rsidRPr="00C23AEF">
        <w:rPr>
          <w:rFonts w:asciiTheme="majorBidi" w:hAnsiTheme="majorBidi" w:cstheme="majorBidi"/>
        </w:rPr>
        <w:t xml:space="preserve">Aligns financial responsibilities with </w:t>
      </w:r>
      <w:proofErr w:type="spellStart"/>
      <w:r w:rsidRPr="00C23AEF">
        <w:rPr>
          <w:rFonts w:asciiTheme="majorBidi" w:hAnsiTheme="majorBidi" w:cstheme="majorBidi"/>
        </w:rPr>
        <w:t>GoM</w:t>
      </w:r>
      <w:proofErr w:type="spellEnd"/>
      <w:r w:rsidRPr="00C23AEF">
        <w:rPr>
          <w:rFonts w:asciiTheme="majorBidi" w:hAnsiTheme="majorBidi" w:cstheme="majorBidi"/>
        </w:rPr>
        <w:t xml:space="preserve"> policies and strategic objectives.</w:t>
      </w:r>
    </w:p>
    <w:p w14:paraId="0972C803" w14:textId="77777777" w:rsidR="00C23AEF" w:rsidRPr="00C23AEF" w:rsidRDefault="00C23AEF" w:rsidP="00C23AEF">
      <w:pPr>
        <w:numPr>
          <w:ilvl w:val="0"/>
          <w:numId w:val="17"/>
        </w:numPr>
        <w:spacing w:after="0" w:line="240" w:lineRule="auto"/>
        <w:jc w:val="both"/>
        <w:rPr>
          <w:rFonts w:asciiTheme="majorBidi" w:hAnsiTheme="majorBidi" w:cstheme="majorBidi"/>
        </w:rPr>
      </w:pPr>
      <w:r w:rsidRPr="00C23AEF">
        <w:rPr>
          <w:rFonts w:asciiTheme="majorBidi" w:hAnsiTheme="majorBidi" w:cstheme="majorBidi"/>
        </w:rPr>
        <w:t>Establishes a clear role for private sector participation, ensuring their effective integration into housing development and implementation.</w:t>
      </w:r>
    </w:p>
    <w:p w14:paraId="417737D1" w14:textId="7C6B4DE4" w:rsidR="00C23AEF" w:rsidRPr="00C23AEF" w:rsidRDefault="00C23AEF" w:rsidP="00C23AEF">
      <w:pPr>
        <w:ind w:left="360"/>
        <w:jc w:val="both"/>
        <w:rPr>
          <w:rFonts w:asciiTheme="majorBidi" w:hAnsiTheme="majorBidi" w:cstheme="majorBidi"/>
        </w:rPr>
      </w:pPr>
      <w:r w:rsidRPr="00C23AEF">
        <w:rPr>
          <w:rFonts w:asciiTheme="majorBidi" w:hAnsiTheme="majorBidi" w:cstheme="majorBidi"/>
        </w:rPr>
        <w:t>The recommended institutional arrangements will aim to enhance coordination, improve efficiency, and create a more dynamic and scalable approach for affordable housing provision in the Maldives.</w:t>
      </w:r>
    </w:p>
    <w:p w14:paraId="15A51FE0" w14:textId="77777777" w:rsidR="00C23AEF" w:rsidRPr="00C23AEF" w:rsidRDefault="00C23AEF" w:rsidP="00C23AEF">
      <w:pPr>
        <w:pStyle w:val="ListParagraph"/>
        <w:numPr>
          <w:ilvl w:val="0"/>
          <w:numId w:val="10"/>
        </w:numPr>
        <w:spacing w:after="0" w:line="240" w:lineRule="auto"/>
        <w:jc w:val="both"/>
        <w:rPr>
          <w:rFonts w:asciiTheme="majorBidi" w:hAnsiTheme="majorBidi" w:cstheme="majorBidi"/>
          <w:b/>
          <w:bCs/>
          <w:i/>
          <w:iCs/>
        </w:rPr>
      </w:pPr>
      <w:r w:rsidRPr="00C23AEF">
        <w:rPr>
          <w:rFonts w:asciiTheme="majorBidi" w:hAnsiTheme="majorBidi" w:cstheme="majorBidi"/>
          <w:b/>
          <w:bCs/>
          <w:i/>
          <w:iCs/>
        </w:rPr>
        <w:t>Roadmap and Implementation Plan Recommendation</w:t>
      </w:r>
    </w:p>
    <w:p w14:paraId="7AC48AC5" w14:textId="77777777" w:rsidR="00C23AEF" w:rsidRPr="00C23AEF" w:rsidRDefault="00C23AEF" w:rsidP="00C23AEF">
      <w:pPr>
        <w:pStyle w:val="ListParagraph"/>
        <w:ind w:left="360"/>
        <w:jc w:val="both"/>
        <w:rPr>
          <w:rFonts w:asciiTheme="majorBidi" w:hAnsiTheme="majorBidi" w:cstheme="majorBidi"/>
        </w:rPr>
      </w:pPr>
      <w:r w:rsidRPr="00C23AEF">
        <w:rPr>
          <w:rFonts w:asciiTheme="majorBidi" w:hAnsiTheme="majorBidi" w:cstheme="majorBidi"/>
        </w:rPr>
        <w:t xml:space="preserve">With results and insights from the market surveys (conducted by the Consultant firm for TOR#1) and inputs from key government housing decision makers, a supply-side roadmap will be developed. This roadmap will integrate findings from sub-activities 1-3.  Short, medium and long-term actions to be undertaken as part of the roadmap will be clearly laid out with sequenced timelines, expected outputs and outcomes.  </w:t>
      </w:r>
    </w:p>
    <w:p w14:paraId="610CA2D2" w14:textId="77777777" w:rsidR="00C23AEF" w:rsidRPr="00C23AEF" w:rsidRDefault="00C23AEF" w:rsidP="00C23AEF">
      <w:pPr>
        <w:pStyle w:val="ListParagraph"/>
        <w:ind w:left="360"/>
        <w:jc w:val="both"/>
        <w:rPr>
          <w:rFonts w:asciiTheme="majorBidi" w:hAnsiTheme="majorBidi" w:cstheme="majorBidi"/>
        </w:rPr>
      </w:pPr>
    </w:p>
    <w:p w14:paraId="77774AA2" w14:textId="4E9AF506" w:rsidR="00C23AEF" w:rsidRPr="00C23AEF" w:rsidRDefault="00C23AEF" w:rsidP="00C23AEF">
      <w:pPr>
        <w:pStyle w:val="ListParagraph"/>
        <w:ind w:left="360"/>
        <w:jc w:val="both"/>
        <w:rPr>
          <w:rFonts w:asciiTheme="majorBidi" w:hAnsiTheme="majorBidi" w:cstheme="majorBidi"/>
        </w:rPr>
      </w:pPr>
      <w:r w:rsidRPr="00C23AEF">
        <w:rPr>
          <w:rFonts w:asciiTheme="majorBidi" w:hAnsiTheme="majorBidi" w:cstheme="majorBidi"/>
        </w:rPr>
        <w:t>The housing development roadmap should include the outputs for both the demand- and supply-side, with the inputs from the demand-side being provided by the Consultant firm responsible for TOR#2 – Demand-side roadmap recommendations.</w:t>
      </w:r>
    </w:p>
    <w:p w14:paraId="367726F5" w14:textId="77777777" w:rsidR="00C23AEF" w:rsidRPr="00C23AEF" w:rsidRDefault="00C23AEF" w:rsidP="00C23AEF">
      <w:pPr>
        <w:jc w:val="both"/>
        <w:rPr>
          <w:rFonts w:asciiTheme="majorBidi" w:hAnsiTheme="majorBidi" w:cstheme="majorBidi"/>
          <w:i/>
          <w:iCs/>
        </w:rPr>
      </w:pPr>
      <w:r w:rsidRPr="00C23AEF">
        <w:rPr>
          <w:rFonts w:asciiTheme="majorBidi" w:hAnsiTheme="majorBidi" w:cstheme="majorBidi"/>
          <w:b/>
          <w:bCs/>
          <w:i/>
          <w:iCs/>
        </w:rPr>
        <w:lastRenderedPageBreak/>
        <w:t>This activity will be done on a consultative and collaborative process</w:t>
      </w:r>
      <w:r w:rsidRPr="00C23AEF">
        <w:rPr>
          <w:rFonts w:asciiTheme="majorBidi" w:hAnsiTheme="majorBidi" w:cstheme="majorBidi"/>
        </w:rPr>
        <w:t xml:space="preserve"> starting with the formation of a technical working group (TWG) composed of members from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w:t>
      </w:r>
      <w:proofErr w:type="spellStart"/>
      <w:r w:rsidRPr="00C23AEF">
        <w:rPr>
          <w:rFonts w:asciiTheme="majorBidi" w:hAnsiTheme="majorBidi" w:cstheme="majorBidi"/>
        </w:rPr>
        <w:t>MoFP</w:t>
      </w:r>
      <w:proofErr w:type="spellEnd"/>
      <w:r w:rsidRPr="00C23AEF">
        <w:rPr>
          <w:rFonts w:asciiTheme="majorBidi" w:hAnsiTheme="majorBidi" w:cstheme="majorBidi"/>
        </w:rPr>
        <w:t xml:space="preserve">, the implementing agencies (HDC and FDC), and other relevant stakeholders. </w:t>
      </w:r>
      <w:r w:rsidRPr="00C23AEF">
        <w:rPr>
          <w:rFonts w:asciiTheme="majorBidi" w:hAnsiTheme="majorBidi" w:cstheme="majorBidi"/>
          <w:i/>
          <w:iCs/>
        </w:rPr>
        <w:t>It is recommended that the technical working group will (</w:t>
      </w:r>
      <w:proofErr w:type="spellStart"/>
      <w:r w:rsidRPr="00C23AEF">
        <w:rPr>
          <w:rFonts w:asciiTheme="majorBidi" w:hAnsiTheme="majorBidi" w:cstheme="majorBidi"/>
          <w:i/>
          <w:iCs/>
        </w:rPr>
        <w:t>i</w:t>
      </w:r>
      <w:proofErr w:type="spellEnd"/>
      <w:r w:rsidRPr="00C23AEF">
        <w:rPr>
          <w:rFonts w:asciiTheme="majorBidi" w:hAnsiTheme="majorBidi" w:cstheme="majorBidi"/>
          <w:i/>
          <w:iCs/>
        </w:rPr>
        <w:t xml:space="preserve">) make key decisions for Activity 1 collaboratively and (ii) raise key recommendations throughout this study </w:t>
      </w:r>
      <w:proofErr w:type="gramStart"/>
      <w:r w:rsidRPr="00C23AEF">
        <w:rPr>
          <w:rFonts w:asciiTheme="majorBidi" w:hAnsiTheme="majorBidi" w:cstheme="majorBidi"/>
          <w:i/>
          <w:iCs/>
        </w:rPr>
        <w:t>to</w:t>
      </w:r>
      <w:proofErr w:type="gramEnd"/>
      <w:r w:rsidRPr="00C23AEF">
        <w:rPr>
          <w:rFonts w:asciiTheme="majorBidi" w:hAnsiTheme="majorBidi" w:cstheme="majorBidi"/>
          <w:i/>
          <w:iCs/>
        </w:rPr>
        <w:t xml:space="preserve"> the Minister of Housing and the Minister of Finance for guidance and support.  The final recommendations will be consolidated into a White Paper for cabinet approval, ensuring high level endorsement and commitment to housing sector reforms.</w:t>
      </w:r>
    </w:p>
    <w:p w14:paraId="141E5375" w14:textId="77777777" w:rsidR="00C23AEF" w:rsidRPr="00C23AEF" w:rsidRDefault="00C23AEF" w:rsidP="00C23AEF">
      <w:pPr>
        <w:jc w:val="both"/>
        <w:rPr>
          <w:rFonts w:asciiTheme="majorBidi" w:hAnsiTheme="majorBidi" w:cstheme="majorBidi"/>
          <w:i/>
          <w:iCs/>
        </w:rPr>
      </w:pPr>
    </w:p>
    <w:p w14:paraId="6A7469CC" w14:textId="77777777" w:rsidR="00C23AEF" w:rsidRPr="00C23AEF" w:rsidRDefault="00C23AEF" w:rsidP="00C23AEF">
      <w:pPr>
        <w:jc w:val="both"/>
        <w:rPr>
          <w:rFonts w:asciiTheme="majorBidi" w:hAnsiTheme="majorBidi" w:cstheme="majorBidi"/>
          <w:b/>
          <w:bCs/>
          <w:u w:val="single"/>
        </w:rPr>
      </w:pPr>
      <w:r w:rsidRPr="00C23AEF">
        <w:rPr>
          <w:rFonts w:asciiTheme="majorBidi" w:hAnsiTheme="majorBidi" w:cstheme="majorBidi"/>
          <w:b/>
          <w:bCs/>
          <w:u w:val="single"/>
        </w:rPr>
        <w:t>Activity 2</w:t>
      </w:r>
      <w:proofErr w:type="gramStart"/>
      <w:r w:rsidRPr="00C23AEF">
        <w:rPr>
          <w:rFonts w:asciiTheme="majorBidi" w:hAnsiTheme="majorBidi" w:cstheme="majorBidi"/>
          <w:b/>
          <w:bCs/>
          <w:u w:val="single"/>
        </w:rPr>
        <w:t>:  Housing</w:t>
      </w:r>
      <w:proofErr w:type="gramEnd"/>
      <w:r w:rsidRPr="00C23AEF">
        <w:rPr>
          <w:rFonts w:asciiTheme="majorBidi" w:hAnsiTheme="majorBidi" w:cstheme="majorBidi"/>
          <w:b/>
          <w:bCs/>
          <w:u w:val="single"/>
        </w:rPr>
        <w:t xml:space="preserve"> Sector Capacity Building </w:t>
      </w:r>
    </w:p>
    <w:p w14:paraId="4B9636FF" w14:textId="29B6D4E0" w:rsidR="00C23AEF" w:rsidRPr="00C23AEF" w:rsidRDefault="00C23AEF" w:rsidP="00C23AEF">
      <w:pPr>
        <w:jc w:val="both"/>
        <w:rPr>
          <w:rFonts w:asciiTheme="majorBidi" w:hAnsiTheme="majorBidi" w:cstheme="majorBidi"/>
        </w:rPr>
      </w:pPr>
      <w:r w:rsidRPr="00C23AEF">
        <w:rPr>
          <w:rFonts w:asciiTheme="majorBidi" w:hAnsiTheme="majorBidi" w:cstheme="majorBidi"/>
        </w:rPr>
        <w:t xml:space="preserve">This activity aims to strengthen the capacity of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w:t>
      </w:r>
      <w:proofErr w:type="spellStart"/>
      <w:r w:rsidRPr="00C23AEF">
        <w:rPr>
          <w:rFonts w:asciiTheme="majorBidi" w:hAnsiTheme="majorBidi" w:cstheme="majorBidi"/>
        </w:rPr>
        <w:t>MoFP</w:t>
      </w:r>
      <w:proofErr w:type="spellEnd"/>
      <w:r w:rsidRPr="00C23AEF">
        <w:rPr>
          <w:rFonts w:asciiTheme="majorBidi" w:hAnsiTheme="majorBidi" w:cstheme="majorBidi"/>
        </w:rPr>
        <w:t>, and housing implementing agencies to effectively develop, implement, and manage housing reforms by equipping staff with essential knowledge and skills. The initiative includes three key components: knowledge transfer and academic training. Training participants who complete the curriculum will receive a Housing Training Certificate of Completion.</w:t>
      </w:r>
    </w:p>
    <w:p w14:paraId="5CC8C4F4" w14:textId="77777777" w:rsidR="00C23AEF" w:rsidRPr="00C23AEF" w:rsidRDefault="00C23AEF" w:rsidP="00C23AEF">
      <w:pPr>
        <w:jc w:val="both"/>
        <w:rPr>
          <w:rFonts w:asciiTheme="majorBidi" w:hAnsiTheme="majorBidi" w:cstheme="majorBidi"/>
        </w:rPr>
      </w:pPr>
      <w:r w:rsidRPr="00C23AEF">
        <w:rPr>
          <w:rFonts w:asciiTheme="majorBidi" w:hAnsiTheme="majorBidi" w:cstheme="majorBidi"/>
        </w:rPr>
        <w:t>The key training components are:</w:t>
      </w:r>
    </w:p>
    <w:p w14:paraId="1D38A932" w14:textId="77777777" w:rsidR="00C23AEF" w:rsidRPr="00C23AEF" w:rsidRDefault="00C23AEF" w:rsidP="00C23AEF">
      <w:pPr>
        <w:numPr>
          <w:ilvl w:val="0"/>
          <w:numId w:val="18"/>
        </w:numPr>
        <w:spacing w:after="0" w:line="240" w:lineRule="auto"/>
        <w:jc w:val="both"/>
        <w:rPr>
          <w:rFonts w:asciiTheme="majorBidi" w:hAnsiTheme="majorBidi" w:cstheme="majorBidi"/>
        </w:rPr>
      </w:pPr>
      <w:r w:rsidRPr="00C23AEF">
        <w:rPr>
          <w:rFonts w:asciiTheme="majorBidi" w:hAnsiTheme="majorBidi" w:cstheme="majorBidi"/>
          <w:b/>
          <w:bCs/>
        </w:rPr>
        <w:t>Knowledge Transfer</w:t>
      </w:r>
      <w:r w:rsidRPr="00C23AEF">
        <w:rPr>
          <w:rFonts w:asciiTheme="majorBidi" w:hAnsiTheme="majorBidi" w:cstheme="majorBidi"/>
        </w:rPr>
        <w:t xml:space="preserve"> – Introduce staff to international best practices in housing and urban development, with a focus on: (</w:t>
      </w:r>
      <w:proofErr w:type="spellStart"/>
      <w:r w:rsidRPr="00C23AEF">
        <w:rPr>
          <w:rFonts w:asciiTheme="majorBidi" w:hAnsiTheme="majorBidi" w:cstheme="majorBidi"/>
        </w:rPr>
        <w:t>i</w:t>
      </w:r>
      <w:proofErr w:type="spellEnd"/>
      <w:r w:rsidRPr="00C23AEF">
        <w:rPr>
          <w:rFonts w:asciiTheme="majorBidi" w:hAnsiTheme="majorBidi" w:cstheme="majorBidi"/>
        </w:rPr>
        <w:t>) Affordable housing provisioning models and best practices; (ii) regulatory and policy framework; and (iii) alternative institutional arrangements to address housing challenges in the Maldivian context.</w:t>
      </w:r>
    </w:p>
    <w:p w14:paraId="21BFB3DD" w14:textId="77777777" w:rsidR="00C23AEF" w:rsidRPr="00C23AEF" w:rsidRDefault="00C23AEF" w:rsidP="00C23AEF">
      <w:pPr>
        <w:numPr>
          <w:ilvl w:val="0"/>
          <w:numId w:val="18"/>
        </w:numPr>
        <w:spacing w:after="0" w:line="240" w:lineRule="auto"/>
        <w:jc w:val="both"/>
        <w:rPr>
          <w:rFonts w:asciiTheme="majorBidi" w:hAnsiTheme="majorBidi" w:cstheme="majorBidi"/>
        </w:rPr>
      </w:pPr>
      <w:r w:rsidRPr="00C23AEF">
        <w:rPr>
          <w:rFonts w:asciiTheme="majorBidi" w:hAnsiTheme="majorBidi" w:cstheme="majorBidi"/>
          <w:b/>
          <w:bCs/>
        </w:rPr>
        <w:t>Academic Training</w:t>
      </w:r>
      <w:r w:rsidRPr="00C23AEF">
        <w:rPr>
          <w:rFonts w:asciiTheme="majorBidi" w:hAnsiTheme="majorBidi" w:cstheme="majorBidi"/>
        </w:rPr>
        <w:t xml:space="preserve"> – A hands-on training program covering: (</w:t>
      </w:r>
      <w:proofErr w:type="spellStart"/>
      <w:r w:rsidRPr="00C23AEF">
        <w:rPr>
          <w:rFonts w:asciiTheme="majorBidi" w:hAnsiTheme="majorBidi" w:cstheme="majorBidi"/>
        </w:rPr>
        <w:t>i</w:t>
      </w:r>
      <w:proofErr w:type="spellEnd"/>
      <w:r w:rsidRPr="00C23AEF">
        <w:rPr>
          <w:rFonts w:asciiTheme="majorBidi" w:hAnsiTheme="majorBidi" w:cstheme="majorBidi"/>
        </w:rPr>
        <w:t xml:space="preserve">) Housing policy and program development; (ii) Housing program assessment and monitoring; (iii)Targeting and affordability analysis; (iv) Incentive structures for supply-side interventions; (iv) Financial modeling for both supply-side interventions. </w:t>
      </w:r>
    </w:p>
    <w:p w14:paraId="5263F0D0" w14:textId="77777777" w:rsidR="00C23AEF" w:rsidRPr="00C23AEF" w:rsidRDefault="00C23AEF" w:rsidP="00C23AEF">
      <w:pPr>
        <w:jc w:val="both"/>
        <w:rPr>
          <w:rFonts w:asciiTheme="majorBidi" w:hAnsiTheme="majorBidi" w:cstheme="majorBidi"/>
          <w:b/>
          <w:bCs/>
        </w:rPr>
      </w:pPr>
    </w:p>
    <w:p w14:paraId="5F1A38FF" w14:textId="77777777" w:rsidR="00C23AEF" w:rsidRPr="00C23AEF" w:rsidRDefault="00C23AEF" w:rsidP="00C23AEF">
      <w:pPr>
        <w:jc w:val="both"/>
        <w:rPr>
          <w:rFonts w:asciiTheme="majorBidi" w:hAnsiTheme="majorBidi" w:cstheme="majorBidi"/>
        </w:rPr>
      </w:pPr>
      <w:r w:rsidRPr="00C23AEF">
        <w:rPr>
          <w:rFonts w:asciiTheme="majorBidi" w:hAnsiTheme="majorBidi" w:cstheme="majorBidi"/>
        </w:rPr>
        <w:t>Trainers for this Activity may include technical team members from Activity 1. The Consultant Firm may collaborate with Maldivian academic institutions (e.g., Maldives National University, MNU Business School, and Maldives Polytechnic) to explore the establishment of a structured academic training program drawing from contents from this Activity to ensure the sustainable capacity building for the housing sector in Maldives. This structured approach ensures that key stakeholders gain the necessary expertise to drive and sustain meaningful housing sector reforms in the Maldives.</w:t>
      </w:r>
    </w:p>
    <w:p w14:paraId="0C097BE3" w14:textId="77777777" w:rsidR="00C23AEF" w:rsidRPr="00C23AEF" w:rsidRDefault="00C23AEF" w:rsidP="00C23AEF">
      <w:pPr>
        <w:jc w:val="both"/>
        <w:rPr>
          <w:rFonts w:asciiTheme="majorBidi" w:hAnsiTheme="majorBidi" w:cstheme="majorBidi"/>
        </w:rPr>
      </w:pPr>
    </w:p>
    <w:p w14:paraId="219CC859" w14:textId="66116C37" w:rsidR="00C23AEF" w:rsidRPr="00C23AEF" w:rsidRDefault="00C23AEF" w:rsidP="00C23AEF">
      <w:pPr>
        <w:jc w:val="both"/>
        <w:rPr>
          <w:rFonts w:asciiTheme="majorBidi" w:hAnsiTheme="majorBidi" w:cstheme="majorBidi"/>
        </w:rPr>
      </w:pPr>
      <w:r w:rsidRPr="00C23AEF">
        <w:rPr>
          <w:rFonts w:asciiTheme="majorBidi" w:hAnsiTheme="majorBidi" w:cstheme="majorBidi"/>
        </w:rPr>
        <w:t>While the Consultant Firm for TOR#2 (Demand-Side Reform Roadmap Recommendations) will lead the overall capacity-building initiative and will bear all cost related to coordination, logistics and venue, the Consultant Firm for TOR#3 (Supply-Side Roadmap Recommendations) will be responsible for developing the supply-side training content and conducting the training sessions on housing supply-related topics.</w:t>
      </w:r>
    </w:p>
    <w:p w14:paraId="2E0594DF" w14:textId="457167D3" w:rsidR="00C23AEF" w:rsidRPr="00C23AEF" w:rsidRDefault="00C23AEF" w:rsidP="00C23AEF">
      <w:pPr>
        <w:jc w:val="both"/>
        <w:rPr>
          <w:rFonts w:asciiTheme="majorBidi" w:hAnsiTheme="majorBidi" w:cstheme="majorBidi"/>
          <w:b/>
          <w:bCs/>
          <w:u w:val="single"/>
        </w:rPr>
      </w:pPr>
      <w:r w:rsidRPr="00C23AEF">
        <w:rPr>
          <w:rFonts w:asciiTheme="majorBidi" w:hAnsiTheme="majorBidi" w:cstheme="majorBidi"/>
          <w:b/>
          <w:bCs/>
          <w:u w:val="single"/>
        </w:rPr>
        <w:t>Activity 3</w:t>
      </w:r>
      <w:proofErr w:type="gramStart"/>
      <w:r w:rsidRPr="00C23AEF">
        <w:rPr>
          <w:rFonts w:asciiTheme="majorBidi" w:hAnsiTheme="majorBidi" w:cstheme="majorBidi"/>
          <w:b/>
          <w:bCs/>
          <w:u w:val="single"/>
        </w:rPr>
        <w:t>:  Strata</w:t>
      </w:r>
      <w:proofErr w:type="gramEnd"/>
      <w:r w:rsidRPr="00C23AEF">
        <w:rPr>
          <w:rFonts w:asciiTheme="majorBidi" w:hAnsiTheme="majorBidi" w:cstheme="majorBidi"/>
          <w:b/>
          <w:bCs/>
          <w:u w:val="single"/>
        </w:rPr>
        <w:t xml:space="preserve">-Title Certification System Assessment and Reform Recommendation </w:t>
      </w:r>
    </w:p>
    <w:p w14:paraId="272CF6B8" w14:textId="77777777" w:rsidR="00C23AEF" w:rsidRPr="00C23AEF" w:rsidRDefault="00C23AEF" w:rsidP="00C23AEF">
      <w:pPr>
        <w:jc w:val="both"/>
        <w:rPr>
          <w:rFonts w:asciiTheme="majorBidi" w:hAnsiTheme="majorBidi" w:cstheme="majorBidi"/>
        </w:rPr>
      </w:pPr>
      <w:r w:rsidRPr="00C23AEF">
        <w:rPr>
          <w:rFonts w:asciiTheme="majorBidi" w:hAnsiTheme="majorBidi" w:cstheme="majorBidi"/>
        </w:rPr>
        <w:t xml:space="preserve">The strata titling registration system in the Maldives is slow and inefficient, often taking up to five years. These delays hinder housing supply, limit access to housing finance, and slow economic growth.  This system has </w:t>
      </w:r>
      <w:proofErr w:type="gramStart"/>
      <w:r w:rsidRPr="00C23AEF">
        <w:rPr>
          <w:rFonts w:asciiTheme="majorBidi" w:hAnsiTheme="majorBidi" w:cstheme="majorBidi"/>
        </w:rPr>
        <w:t>negative</w:t>
      </w:r>
      <w:proofErr w:type="gramEnd"/>
      <w:r w:rsidRPr="00C23AEF">
        <w:rPr>
          <w:rFonts w:asciiTheme="majorBidi" w:hAnsiTheme="majorBidi" w:cstheme="majorBidi"/>
        </w:rPr>
        <w:t xml:space="preserve"> impact on:</w:t>
      </w:r>
    </w:p>
    <w:p w14:paraId="0301C42B" w14:textId="77777777" w:rsidR="00C23AEF" w:rsidRPr="00C23AEF" w:rsidRDefault="00C23AEF" w:rsidP="00C23AEF">
      <w:pPr>
        <w:pStyle w:val="ListParagraph"/>
        <w:numPr>
          <w:ilvl w:val="0"/>
          <w:numId w:val="13"/>
        </w:numPr>
        <w:spacing w:after="0" w:line="240" w:lineRule="auto"/>
        <w:jc w:val="both"/>
        <w:rPr>
          <w:rFonts w:asciiTheme="majorBidi" w:hAnsiTheme="majorBidi" w:cstheme="majorBidi"/>
        </w:rPr>
      </w:pPr>
      <w:r w:rsidRPr="00C23AEF">
        <w:rPr>
          <w:rFonts w:asciiTheme="majorBidi" w:hAnsiTheme="majorBidi" w:cstheme="majorBidi"/>
        </w:rPr>
        <w:lastRenderedPageBreak/>
        <w:t>Developers: Without registered strata titles, developers struggle to secure financing and provide buyers with legal proof of ownership, affecting property sales and investment.</w:t>
      </w:r>
    </w:p>
    <w:p w14:paraId="2E82E6CB" w14:textId="33EF5784" w:rsidR="00C23AEF" w:rsidRDefault="00C23AEF" w:rsidP="00C23AEF">
      <w:pPr>
        <w:pStyle w:val="ListParagraph"/>
        <w:numPr>
          <w:ilvl w:val="0"/>
          <w:numId w:val="13"/>
        </w:numPr>
        <w:spacing w:after="0" w:line="240" w:lineRule="auto"/>
        <w:jc w:val="both"/>
        <w:rPr>
          <w:rFonts w:asciiTheme="majorBidi" w:hAnsiTheme="majorBidi" w:cstheme="majorBidi"/>
        </w:rPr>
      </w:pPr>
      <w:r w:rsidRPr="00C23AEF">
        <w:rPr>
          <w:rFonts w:asciiTheme="majorBidi" w:hAnsiTheme="majorBidi" w:cstheme="majorBidi"/>
        </w:rPr>
        <w:t xml:space="preserve">Banks and Borrowers: Financial institutions face high risks when </w:t>
      </w:r>
      <w:proofErr w:type="gramStart"/>
      <w:r w:rsidRPr="00C23AEF">
        <w:rPr>
          <w:rFonts w:asciiTheme="majorBidi" w:hAnsiTheme="majorBidi" w:cstheme="majorBidi"/>
        </w:rPr>
        <w:t>lending for</w:t>
      </w:r>
      <w:proofErr w:type="gramEnd"/>
      <w:r w:rsidRPr="00C23AEF">
        <w:rPr>
          <w:rFonts w:asciiTheme="majorBidi" w:hAnsiTheme="majorBidi" w:cstheme="majorBidi"/>
        </w:rPr>
        <w:t xml:space="preserve"> units without legal titles. Without proper registration, banks cannot foreclose on defaulted loans, leading to higher borrowing costs for buyers.</w:t>
      </w:r>
    </w:p>
    <w:p w14:paraId="2FECD69C" w14:textId="77777777" w:rsidR="00C23AEF" w:rsidRPr="00C23AEF" w:rsidRDefault="00C23AEF" w:rsidP="00C23AEF">
      <w:pPr>
        <w:pStyle w:val="ListParagraph"/>
        <w:spacing w:after="0" w:line="240" w:lineRule="auto"/>
        <w:jc w:val="both"/>
        <w:rPr>
          <w:rFonts w:asciiTheme="majorBidi" w:hAnsiTheme="majorBidi" w:cstheme="majorBidi"/>
        </w:rPr>
      </w:pPr>
    </w:p>
    <w:p w14:paraId="6EDCBE74" w14:textId="77777777" w:rsidR="00C23AEF" w:rsidRPr="00C23AEF" w:rsidRDefault="00C23AEF" w:rsidP="00C23AEF">
      <w:pPr>
        <w:rPr>
          <w:rFonts w:asciiTheme="majorBidi" w:hAnsiTheme="majorBidi" w:cstheme="majorBidi"/>
        </w:rPr>
      </w:pPr>
      <w:r w:rsidRPr="00C23AEF">
        <w:rPr>
          <w:rFonts w:asciiTheme="majorBidi" w:hAnsiTheme="majorBidi" w:cstheme="majorBidi"/>
        </w:rPr>
        <w:t>The Consultant will undertake the following tasks:</w:t>
      </w:r>
    </w:p>
    <w:p w14:paraId="258357A3" w14:textId="77777777" w:rsidR="00C23AEF" w:rsidRPr="00C23AEF" w:rsidRDefault="00C23AEF" w:rsidP="00C23AEF">
      <w:pPr>
        <w:pStyle w:val="ListParagraph"/>
        <w:numPr>
          <w:ilvl w:val="0"/>
          <w:numId w:val="14"/>
        </w:numPr>
        <w:spacing w:after="0" w:line="240" w:lineRule="auto"/>
        <w:rPr>
          <w:rFonts w:asciiTheme="majorBidi" w:hAnsiTheme="majorBidi" w:cstheme="majorBidi"/>
        </w:rPr>
      </w:pPr>
      <w:r w:rsidRPr="00C23AEF">
        <w:rPr>
          <w:rFonts w:asciiTheme="majorBidi" w:hAnsiTheme="majorBidi" w:cstheme="majorBidi"/>
          <w:b/>
          <w:bCs/>
        </w:rPr>
        <w:t>Mapping</w:t>
      </w:r>
      <w:r w:rsidRPr="00C23AEF">
        <w:rPr>
          <w:rFonts w:asciiTheme="majorBidi" w:hAnsiTheme="majorBidi" w:cstheme="majorBidi"/>
        </w:rPr>
        <w:t xml:space="preserve"> – Document the end-to-end strata titling process, including steps, timeframes, responsible agencies, and costs</w:t>
      </w:r>
    </w:p>
    <w:p w14:paraId="3AC5C67B" w14:textId="77777777" w:rsidR="00C23AEF" w:rsidRPr="00C23AEF" w:rsidRDefault="00C23AEF" w:rsidP="00C23AEF">
      <w:pPr>
        <w:pStyle w:val="ListParagraph"/>
        <w:numPr>
          <w:ilvl w:val="0"/>
          <w:numId w:val="14"/>
        </w:numPr>
        <w:spacing w:after="0" w:line="240" w:lineRule="auto"/>
        <w:rPr>
          <w:rFonts w:asciiTheme="majorBidi" w:hAnsiTheme="majorBidi" w:cstheme="majorBidi"/>
        </w:rPr>
      </w:pPr>
      <w:r w:rsidRPr="00C23AEF">
        <w:rPr>
          <w:rFonts w:asciiTheme="majorBidi" w:hAnsiTheme="majorBidi" w:cstheme="majorBidi"/>
          <w:b/>
          <w:bCs/>
        </w:rPr>
        <w:t>Analysis</w:t>
      </w:r>
      <w:r w:rsidRPr="00C23AEF">
        <w:rPr>
          <w:rFonts w:asciiTheme="majorBidi" w:hAnsiTheme="majorBidi" w:cstheme="majorBidi"/>
        </w:rPr>
        <w:t xml:space="preserve"> – Identify key bottlenecks, whether due to system inefficiencies, capacity gaps, funding issues, institutional arrangement complexity, or other constraints.</w:t>
      </w:r>
    </w:p>
    <w:p w14:paraId="505C3459" w14:textId="77777777" w:rsidR="00C23AEF" w:rsidRPr="00C23AEF" w:rsidRDefault="00C23AEF" w:rsidP="00C23AEF">
      <w:pPr>
        <w:pStyle w:val="ListParagraph"/>
        <w:numPr>
          <w:ilvl w:val="0"/>
          <w:numId w:val="14"/>
        </w:numPr>
        <w:spacing w:after="0" w:line="240" w:lineRule="auto"/>
        <w:jc w:val="both"/>
        <w:rPr>
          <w:rFonts w:asciiTheme="majorBidi" w:hAnsiTheme="majorBidi" w:cstheme="majorBidi"/>
        </w:rPr>
      </w:pPr>
      <w:r w:rsidRPr="00C23AEF">
        <w:rPr>
          <w:rFonts w:asciiTheme="majorBidi" w:hAnsiTheme="majorBidi" w:cstheme="majorBidi"/>
          <w:b/>
          <w:bCs/>
        </w:rPr>
        <w:t>Recommendations</w:t>
      </w:r>
      <w:r w:rsidRPr="00C23AEF">
        <w:rPr>
          <w:rFonts w:asciiTheme="majorBidi" w:hAnsiTheme="majorBidi" w:cstheme="majorBidi"/>
        </w:rPr>
        <w:t xml:space="preserve"> –Develop reform proposals grounded in international best practices, detailing necessary regulatory, policy, system, and institutional changes to streamline the process. Clearly outline the resources and funding required for implementation, along with a phased action plan specifying short- and medium-term measures. Identify key responsible institutions and their roles in executing the proposed reforms.</w:t>
      </w:r>
    </w:p>
    <w:p w14:paraId="507C4B41" w14:textId="2DE3EAD3" w:rsidR="00C23AEF" w:rsidRDefault="00C23AEF" w:rsidP="00C23AEF">
      <w:pPr>
        <w:pStyle w:val="ListParagraph"/>
        <w:numPr>
          <w:ilvl w:val="0"/>
          <w:numId w:val="14"/>
        </w:numPr>
        <w:spacing w:after="0" w:line="240" w:lineRule="auto"/>
        <w:rPr>
          <w:rFonts w:asciiTheme="majorBidi" w:hAnsiTheme="majorBidi" w:cstheme="majorBidi"/>
        </w:rPr>
      </w:pPr>
      <w:r w:rsidRPr="00C23AEF">
        <w:rPr>
          <w:rFonts w:asciiTheme="majorBidi" w:hAnsiTheme="majorBidi" w:cstheme="majorBidi"/>
          <w:b/>
          <w:bCs/>
        </w:rPr>
        <w:t>Report</w:t>
      </w:r>
      <w:r w:rsidRPr="00C23AEF">
        <w:rPr>
          <w:rFonts w:asciiTheme="majorBidi" w:hAnsiTheme="majorBidi" w:cstheme="majorBidi"/>
        </w:rPr>
        <w:t xml:space="preserve"> – Compile findings and recommendations into a final report for reform implementation.</w:t>
      </w:r>
    </w:p>
    <w:p w14:paraId="754AAB43" w14:textId="77777777" w:rsidR="00C23AEF" w:rsidRPr="00C23AEF" w:rsidRDefault="00C23AEF" w:rsidP="00C23AEF">
      <w:pPr>
        <w:pStyle w:val="ListParagraph"/>
        <w:spacing w:after="0" w:line="240" w:lineRule="auto"/>
        <w:rPr>
          <w:rFonts w:asciiTheme="majorBidi" w:hAnsiTheme="majorBidi" w:cstheme="majorBidi"/>
          <w:sz w:val="16"/>
          <w:szCs w:val="16"/>
        </w:rPr>
      </w:pPr>
    </w:p>
    <w:p w14:paraId="39145665" w14:textId="18D43708" w:rsidR="00C23AEF" w:rsidRPr="00C23AEF" w:rsidRDefault="00C23AEF" w:rsidP="00C23AEF">
      <w:pPr>
        <w:jc w:val="both"/>
        <w:rPr>
          <w:rFonts w:asciiTheme="majorBidi" w:hAnsiTheme="majorBidi" w:cstheme="majorBidi"/>
        </w:rPr>
      </w:pPr>
      <w:r w:rsidRPr="00C23AEF">
        <w:rPr>
          <w:rFonts w:asciiTheme="majorBidi" w:hAnsiTheme="majorBidi" w:cstheme="majorBidi"/>
        </w:rPr>
        <w:t>This approach aims to shorten the strata-titling registration and certification process to a reasonable timeframe (ideally to 6-month period), improving housing market efficiency and financial accessibility.</w:t>
      </w:r>
    </w:p>
    <w:p w14:paraId="498B8859" w14:textId="51CBF71F" w:rsidR="00C23AEF" w:rsidRPr="00C23AEF" w:rsidRDefault="00C23AEF" w:rsidP="00C23AEF">
      <w:pPr>
        <w:pStyle w:val="Heading2"/>
        <w:numPr>
          <w:ilvl w:val="0"/>
          <w:numId w:val="11"/>
        </w:numPr>
        <w:rPr>
          <w:rFonts w:asciiTheme="majorBidi" w:hAnsiTheme="majorBidi"/>
          <w:b/>
          <w:bCs/>
          <w:color w:val="auto"/>
          <w:sz w:val="22"/>
          <w:szCs w:val="22"/>
        </w:rPr>
      </w:pPr>
      <w:r w:rsidRPr="00C23AEF">
        <w:rPr>
          <w:rFonts w:asciiTheme="majorBidi" w:hAnsiTheme="majorBidi"/>
          <w:b/>
          <w:bCs/>
          <w:color w:val="auto"/>
          <w:sz w:val="22"/>
          <w:szCs w:val="22"/>
        </w:rPr>
        <w:t>Deliverables</w:t>
      </w:r>
    </w:p>
    <w:p w14:paraId="1E8D69A1" w14:textId="77777777" w:rsidR="00C23AEF" w:rsidRPr="00C23AEF" w:rsidRDefault="00C23AEF" w:rsidP="00C23AEF">
      <w:pPr>
        <w:jc w:val="both"/>
        <w:rPr>
          <w:rFonts w:asciiTheme="majorBidi" w:hAnsiTheme="majorBidi" w:cstheme="majorBidi"/>
        </w:rPr>
      </w:pPr>
      <w:r w:rsidRPr="00C23AEF">
        <w:rPr>
          <w:rFonts w:asciiTheme="majorBidi" w:hAnsiTheme="majorBidi" w:cstheme="majorBidi"/>
        </w:rPr>
        <w:t>The estimated duration of this assignment is to be performed over a 12-month period. Deliverables will include reports and presentation materials that contain:</w:t>
      </w:r>
    </w:p>
    <w:p w14:paraId="321A1690"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Inception report.</w:t>
      </w:r>
    </w:p>
    <w:p w14:paraId="2DE05A52"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 xml:space="preserve">Deliverable 1a: Comprehensive Supply-Side Analysis and Alternative Intervention Recommendations Report, to include assessment on regulatory, financial, and institutional arrangement aspects. </w:t>
      </w:r>
    </w:p>
    <w:p w14:paraId="12F5C49F"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Deliverable 1b: Affordable Housing Roadmap Recommendations (in English and Divehi)</w:t>
      </w:r>
    </w:p>
    <w:p w14:paraId="7984D084"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Deliverable 2</w:t>
      </w:r>
      <w:proofErr w:type="gramStart"/>
      <w:r w:rsidRPr="00C23AEF">
        <w:rPr>
          <w:rFonts w:asciiTheme="majorBidi" w:hAnsiTheme="majorBidi" w:cstheme="majorBidi"/>
        </w:rPr>
        <w:t>:  Capacity</w:t>
      </w:r>
      <w:proofErr w:type="gramEnd"/>
      <w:r w:rsidRPr="00C23AEF">
        <w:rPr>
          <w:rFonts w:asciiTheme="majorBidi" w:hAnsiTheme="majorBidi" w:cstheme="majorBidi"/>
        </w:rPr>
        <w:t xml:space="preserve"> Building &amp; Academic Training</w:t>
      </w:r>
    </w:p>
    <w:p w14:paraId="7740401A"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Deliverable 3</w:t>
      </w:r>
      <w:proofErr w:type="gramStart"/>
      <w:r w:rsidRPr="00C23AEF">
        <w:rPr>
          <w:rFonts w:asciiTheme="majorBidi" w:hAnsiTheme="majorBidi" w:cstheme="majorBidi"/>
        </w:rPr>
        <w:t>:  A</w:t>
      </w:r>
      <w:proofErr w:type="gramEnd"/>
      <w:r w:rsidRPr="00C23AEF">
        <w:rPr>
          <w:rFonts w:asciiTheme="majorBidi" w:hAnsiTheme="majorBidi" w:cstheme="majorBidi"/>
        </w:rPr>
        <w:t xml:space="preserve"> report on Strata-title assessment and recommendation </w:t>
      </w:r>
    </w:p>
    <w:p w14:paraId="76E811DD" w14:textId="77777777" w:rsidR="00C23AEF" w:rsidRPr="00C23AEF" w:rsidRDefault="00C23AEF" w:rsidP="00C23AEF">
      <w:pPr>
        <w:numPr>
          <w:ilvl w:val="0"/>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 xml:space="preserve">Deliverable 4: </w:t>
      </w:r>
    </w:p>
    <w:p w14:paraId="40024532" w14:textId="77777777" w:rsidR="00C23AEF" w:rsidRPr="00C23AEF" w:rsidRDefault="00C23AEF" w:rsidP="00C23AEF">
      <w:pPr>
        <w:numPr>
          <w:ilvl w:val="1"/>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 xml:space="preserve">Consultation, knowledge exchange, and training dissemination workshops (in-person or hybrid, as needed).  A minimum of 3 workshops needs to be conducted. </w:t>
      </w:r>
    </w:p>
    <w:p w14:paraId="5D883C12" w14:textId="21CBD6DB" w:rsidR="00C23AEF" w:rsidRDefault="00C23AEF" w:rsidP="00C23AEF">
      <w:pPr>
        <w:numPr>
          <w:ilvl w:val="1"/>
          <w:numId w:val="2"/>
        </w:numPr>
        <w:tabs>
          <w:tab w:val="left" w:pos="851"/>
        </w:tabs>
        <w:spacing w:after="0" w:line="240" w:lineRule="auto"/>
        <w:jc w:val="both"/>
        <w:rPr>
          <w:rFonts w:asciiTheme="majorBidi" w:hAnsiTheme="majorBidi" w:cstheme="majorBidi"/>
        </w:rPr>
      </w:pPr>
      <w:r w:rsidRPr="00C23AEF">
        <w:rPr>
          <w:rFonts w:asciiTheme="majorBidi" w:hAnsiTheme="majorBidi" w:cstheme="majorBidi"/>
        </w:rPr>
        <w:t xml:space="preserve">One publishable final report, a white paper for Cabinet approval, and PPT presentations will be the final deliverables. All final reports and presentations will be presented in both English and Divehi. </w:t>
      </w:r>
    </w:p>
    <w:p w14:paraId="711B8B5D" w14:textId="77777777" w:rsidR="00C23AEF" w:rsidRPr="00C23AEF" w:rsidRDefault="00C23AEF" w:rsidP="00C23AEF">
      <w:pPr>
        <w:tabs>
          <w:tab w:val="left" w:pos="851"/>
        </w:tabs>
        <w:spacing w:after="0" w:line="240" w:lineRule="auto"/>
        <w:ind w:left="1440"/>
        <w:jc w:val="both"/>
        <w:rPr>
          <w:rFonts w:asciiTheme="majorBidi" w:hAnsiTheme="majorBidi" w:cstheme="majorBidi"/>
        </w:rPr>
      </w:pPr>
    </w:p>
    <w:p w14:paraId="0B38DFF6" w14:textId="4ABAC86B" w:rsidR="00C23AEF" w:rsidRPr="00C23AEF" w:rsidRDefault="00C23AEF" w:rsidP="00C23AEF">
      <w:pPr>
        <w:jc w:val="both"/>
        <w:rPr>
          <w:rFonts w:asciiTheme="majorBidi" w:hAnsiTheme="majorBidi" w:cstheme="majorBidi"/>
        </w:rPr>
      </w:pPr>
      <w:r w:rsidRPr="00C23AEF">
        <w:rPr>
          <w:rFonts w:asciiTheme="majorBidi" w:hAnsiTheme="majorBidi" w:cstheme="majorBidi"/>
        </w:rPr>
        <w:t>All deliverables, except for Deliverables 1.1 and 3 will be conducted in close collaboration with Consultant Firm for TOR#2: Demand-Side Reform Recommendations</w:t>
      </w:r>
    </w:p>
    <w:p w14:paraId="02EA2D64" w14:textId="48BE61CD" w:rsidR="00C23AEF" w:rsidRPr="00C23AEF" w:rsidRDefault="00C23AEF" w:rsidP="00C23AEF">
      <w:pPr>
        <w:pStyle w:val="Heading2"/>
        <w:rPr>
          <w:rFonts w:asciiTheme="majorBidi" w:hAnsiTheme="majorBidi"/>
          <w:b/>
          <w:bCs/>
          <w:color w:val="auto"/>
          <w:sz w:val="22"/>
          <w:szCs w:val="22"/>
        </w:rPr>
      </w:pPr>
      <w:r w:rsidRPr="00C23AEF">
        <w:rPr>
          <w:rFonts w:asciiTheme="majorBidi" w:hAnsiTheme="majorBidi"/>
          <w:b/>
          <w:bCs/>
          <w:color w:val="auto"/>
          <w:sz w:val="22"/>
          <w:szCs w:val="22"/>
        </w:rPr>
        <w:t>Consultant Qualifications and Estimated Workdays</w:t>
      </w:r>
    </w:p>
    <w:p w14:paraId="4D36FBF2" w14:textId="7AA78DA1" w:rsidR="00C23AEF" w:rsidRPr="00C23AEF" w:rsidRDefault="00C23AEF" w:rsidP="00C23AEF">
      <w:pPr>
        <w:jc w:val="both"/>
        <w:rPr>
          <w:rFonts w:asciiTheme="majorBidi" w:hAnsiTheme="majorBidi" w:cstheme="majorBidi"/>
        </w:rPr>
      </w:pPr>
      <w:r w:rsidRPr="00C23AEF">
        <w:rPr>
          <w:rFonts w:asciiTheme="majorBidi" w:hAnsiTheme="majorBidi" w:cstheme="majorBidi"/>
        </w:rPr>
        <w:t xml:space="preserve">The assignment is expected to be carried out by a seasoned international consultant team, including key local team members and experts with robust knowledge of the construction market context and relevant project experience on the affordable housing </w:t>
      </w:r>
      <w:proofErr w:type="gramStart"/>
      <w:r w:rsidRPr="00C23AEF">
        <w:rPr>
          <w:rFonts w:asciiTheme="majorBidi" w:hAnsiTheme="majorBidi" w:cstheme="majorBidi"/>
        </w:rPr>
        <w:t>supply-side</w:t>
      </w:r>
      <w:proofErr w:type="gramEnd"/>
      <w:r w:rsidRPr="00C23AEF">
        <w:rPr>
          <w:rFonts w:asciiTheme="majorBidi" w:hAnsiTheme="majorBidi" w:cstheme="majorBidi"/>
        </w:rPr>
        <w:t>. The precise organization of the team is at the discretion of the consulting firm, although a tentative suggestion for team composition is as follows:</w:t>
      </w:r>
    </w:p>
    <w:tbl>
      <w:tblPr>
        <w:tblStyle w:val="TableGrid"/>
        <w:tblW w:w="5000" w:type="pct"/>
        <w:tblLook w:val="04A0" w:firstRow="1" w:lastRow="0" w:firstColumn="1" w:lastColumn="0" w:noHBand="0" w:noVBand="1"/>
      </w:tblPr>
      <w:tblGrid>
        <w:gridCol w:w="654"/>
        <w:gridCol w:w="3133"/>
        <w:gridCol w:w="5274"/>
      </w:tblGrid>
      <w:tr w:rsidR="00C23AEF" w:rsidRPr="00C23AEF" w14:paraId="7FE845CD" w14:textId="77777777" w:rsidTr="000C6432">
        <w:tc>
          <w:tcPr>
            <w:tcW w:w="361" w:type="pct"/>
          </w:tcPr>
          <w:p w14:paraId="516C4DA7" w14:textId="77777777" w:rsidR="00C23AEF" w:rsidRPr="00C23AEF" w:rsidRDefault="00C23AEF" w:rsidP="000C6432">
            <w:pPr>
              <w:jc w:val="center"/>
              <w:rPr>
                <w:rFonts w:asciiTheme="majorBidi" w:hAnsiTheme="majorBidi" w:cstheme="majorBidi"/>
              </w:rPr>
            </w:pPr>
            <w:r w:rsidRPr="00C23AEF">
              <w:rPr>
                <w:rFonts w:asciiTheme="majorBidi" w:hAnsiTheme="majorBidi" w:cstheme="majorBidi"/>
              </w:rPr>
              <w:t>No.</w:t>
            </w:r>
          </w:p>
        </w:tc>
        <w:tc>
          <w:tcPr>
            <w:tcW w:w="1729" w:type="pct"/>
          </w:tcPr>
          <w:p w14:paraId="42EBD83C" w14:textId="77777777" w:rsidR="00C23AEF" w:rsidRPr="00C23AEF" w:rsidRDefault="00C23AEF" w:rsidP="000C6432">
            <w:pPr>
              <w:jc w:val="center"/>
              <w:rPr>
                <w:rFonts w:asciiTheme="majorBidi" w:hAnsiTheme="majorBidi" w:cstheme="majorBidi"/>
              </w:rPr>
            </w:pPr>
            <w:r w:rsidRPr="00C23AEF">
              <w:rPr>
                <w:rFonts w:asciiTheme="majorBidi" w:hAnsiTheme="majorBidi" w:cstheme="majorBidi"/>
              </w:rPr>
              <w:t>Consultant</w:t>
            </w:r>
          </w:p>
        </w:tc>
        <w:tc>
          <w:tcPr>
            <w:tcW w:w="2910" w:type="pct"/>
          </w:tcPr>
          <w:p w14:paraId="6CD34418" w14:textId="77777777" w:rsidR="00C23AEF" w:rsidRPr="00C23AEF" w:rsidRDefault="00C23AEF" w:rsidP="000C6432">
            <w:pPr>
              <w:jc w:val="center"/>
              <w:rPr>
                <w:rFonts w:asciiTheme="majorBidi" w:hAnsiTheme="majorBidi" w:cstheme="majorBidi"/>
              </w:rPr>
            </w:pPr>
            <w:r w:rsidRPr="00C23AEF">
              <w:rPr>
                <w:rFonts w:asciiTheme="majorBidi" w:hAnsiTheme="majorBidi" w:cstheme="majorBidi"/>
              </w:rPr>
              <w:t>Qualifications</w:t>
            </w:r>
          </w:p>
        </w:tc>
      </w:tr>
      <w:tr w:rsidR="00C23AEF" w:rsidRPr="00C23AEF" w14:paraId="30048D35" w14:textId="77777777" w:rsidTr="000C6432">
        <w:tc>
          <w:tcPr>
            <w:tcW w:w="361" w:type="pct"/>
          </w:tcPr>
          <w:p w14:paraId="0CCAB7B2" w14:textId="77777777" w:rsidR="00C23AEF" w:rsidRPr="00C23AEF" w:rsidRDefault="00C23AEF" w:rsidP="000C6432">
            <w:pPr>
              <w:rPr>
                <w:rFonts w:asciiTheme="majorBidi" w:hAnsiTheme="majorBidi" w:cstheme="majorBidi"/>
              </w:rPr>
            </w:pPr>
            <w:r w:rsidRPr="00C23AEF">
              <w:rPr>
                <w:rFonts w:asciiTheme="majorBidi" w:hAnsiTheme="majorBidi" w:cstheme="majorBidi"/>
              </w:rPr>
              <w:lastRenderedPageBreak/>
              <w:t>1</w:t>
            </w:r>
          </w:p>
        </w:tc>
        <w:tc>
          <w:tcPr>
            <w:tcW w:w="1729" w:type="pct"/>
          </w:tcPr>
          <w:p w14:paraId="57F5E2A2" w14:textId="77777777" w:rsidR="00C23AEF" w:rsidRPr="00C23AEF" w:rsidRDefault="00C23AEF" w:rsidP="000C6432">
            <w:pPr>
              <w:rPr>
                <w:rFonts w:asciiTheme="majorBidi" w:hAnsiTheme="majorBidi" w:cstheme="majorBidi"/>
              </w:rPr>
            </w:pPr>
            <w:r w:rsidRPr="00C23AEF">
              <w:rPr>
                <w:rFonts w:asciiTheme="majorBidi" w:hAnsiTheme="majorBidi" w:cstheme="majorBidi"/>
              </w:rPr>
              <w:t>Team leader (International)</w:t>
            </w:r>
          </w:p>
        </w:tc>
        <w:tc>
          <w:tcPr>
            <w:tcW w:w="2910" w:type="pct"/>
          </w:tcPr>
          <w:p w14:paraId="0F0438D2" w14:textId="77777777" w:rsidR="00C23AEF" w:rsidRPr="00C23AEF" w:rsidRDefault="00C23AEF" w:rsidP="000C6432">
            <w:pPr>
              <w:rPr>
                <w:rFonts w:asciiTheme="majorBidi" w:hAnsiTheme="majorBidi" w:cstheme="majorBidi"/>
              </w:rPr>
            </w:pPr>
            <w:r w:rsidRPr="00C23AEF">
              <w:rPr>
                <w:rFonts w:asciiTheme="majorBidi" w:hAnsiTheme="majorBidi" w:cstheme="majorBidi"/>
              </w:rPr>
              <w:t xml:space="preserve">An expert with at least 15 years of demonstrated international </w:t>
            </w:r>
            <w:proofErr w:type="gramStart"/>
            <w:r w:rsidRPr="00C23AEF">
              <w:rPr>
                <w:rFonts w:asciiTheme="majorBidi" w:hAnsiTheme="majorBidi" w:cstheme="majorBidi"/>
              </w:rPr>
              <w:t>experiences</w:t>
            </w:r>
            <w:proofErr w:type="gramEnd"/>
            <w:r w:rsidRPr="00C23AEF">
              <w:rPr>
                <w:rFonts w:asciiTheme="majorBidi" w:hAnsiTheme="majorBidi" w:cstheme="majorBidi"/>
              </w:rPr>
              <w:t xml:space="preserve"> in housing public policy and program development for social/affordable housing provisioning. Experienced in conceptualizing, designing, coordinating, and implementing affordable housing programs will be critical. Experience in affordable / social housing </w:t>
            </w:r>
            <w:proofErr w:type="gramStart"/>
            <w:r w:rsidRPr="00C23AEF">
              <w:rPr>
                <w:rFonts w:asciiTheme="majorBidi" w:hAnsiTheme="majorBidi" w:cstheme="majorBidi"/>
              </w:rPr>
              <w:t>segment</w:t>
            </w:r>
            <w:proofErr w:type="gramEnd"/>
            <w:r w:rsidRPr="00C23AEF">
              <w:rPr>
                <w:rFonts w:asciiTheme="majorBidi" w:hAnsiTheme="majorBidi" w:cstheme="majorBidi"/>
              </w:rPr>
              <w:t xml:space="preserve"> on both supply and demand sides is a must.</w:t>
            </w:r>
          </w:p>
        </w:tc>
      </w:tr>
      <w:tr w:rsidR="00C23AEF" w:rsidRPr="00C23AEF" w14:paraId="22B1BE36" w14:textId="77777777" w:rsidTr="000C6432">
        <w:tc>
          <w:tcPr>
            <w:tcW w:w="361" w:type="pct"/>
          </w:tcPr>
          <w:p w14:paraId="39A9F795" w14:textId="77777777" w:rsidR="00C23AEF" w:rsidRPr="00C23AEF" w:rsidRDefault="00C23AEF" w:rsidP="000C6432">
            <w:pPr>
              <w:rPr>
                <w:rFonts w:asciiTheme="majorBidi" w:hAnsiTheme="majorBidi" w:cstheme="majorBidi"/>
              </w:rPr>
            </w:pPr>
            <w:r w:rsidRPr="00C23AEF">
              <w:rPr>
                <w:rFonts w:asciiTheme="majorBidi" w:hAnsiTheme="majorBidi" w:cstheme="majorBidi"/>
              </w:rPr>
              <w:t>2</w:t>
            </w:r>
          </w:p>
        </w:tc>
        <w:tc>
          <w:tcPr>
            <w:tcW w:w="1729" w:type="pct"/>
          </w:tcPr>
          <w:p w14:paraId="488BD3FD" w14:textId="77777777" w:rsidR="00C23AEF" w:rsidRPr="00C23AEF" w:rsidRDefault="00C23AEF" w:rsidP="000C6432">
            <w:pPr>
              <w:rPr>
                <w:rFonts w:asciiTheme="majorBidi" w:hAnsiTheme="majorBidi" w:cstheme="majorBidi"/>
              </w:rPr>
            </w:pPr>
            <w:r w:rsidRPr="00C23AEF">
              <w:rPr>
                <w:rFonts w:asciiTheme="majorBidi" w:hAnsiTheme="majorBidi" w:cstheme="majorBidi"/>
              </w:rPr>
              <w:t>Housing Construction / Development Specialists (One International and/or One Local)</w:t>
            </w:r>
          </w:p>
        </w:tc>
        <w:tc>
          <w:tcPr>
            <w:tcW w:w="2910" w:type="pct"/>
          </w:tcPr>
          <w:p w14:paraId="375067FA" w14:textId="77777777" w:rsidR="00C23AEF" w:rsidRPr="00C23AEF" w:rsidRDefault="00C23AEF" w:rsidP="000C6432">
            <w:pPr>
              <w:rPr>
                <w:rFonts w:asciiTheme="majorBidi" w:hAnsiTheme="majorBidi" w:cstheme="majorBidi"/>
              </w:rPr>
            </w:pPr>
            <w:r w:rsidRPr="00C23AEF">
              <w:rPr>
                <w:rFonts w:asciiTheme="majorBidi" w:hAnsiTheme="majorBidi" w:cstheme="majorBidi"/>
              </w:rPr>
              <w:t xml:space="preserve">Supply-side expert with at </w:t>
            </w:r>
            <w:proofErr w:type="gramStart"/>
            <w:r w:rsidRPr="00C23AEF">
              <w:rPr>
                <w:rFonts w:asciiTheme="majorBidi" w:hAnsiTheme="majorBidi" w:cstheme="majorBidi"/>
              </w:rPr>
              <w:t>least  7</w:t>
            </w:r>
            <w:proofErr w:type="gramEnd"/>
            <w:r w:rsidRPr="00C23AEF">
              <w:rPr>
                <w:rFonts w:asciiTheme="majorBidi" w:hAnsiTheme="majorBidi" w:cstheme="majorBidi"/>
              </w:rPr>
              <w:t xml:space="preserve"> years of experience in housing construction and affordable housing policy and program development. Master’s degree in a related field (architecture, urban planning, real estate, real-estate economics, business administration). Have experience in Maldives construction is required for the local consultant.</w:t>
            </w:r>
          </w:p>
        </w:tc>
      </w:tr>
      <w:tr w:rsidR="00C23AEF" w:rsidRPr="00C23AEF" w14:paraId="78EC1D37" w14:textId="77777777" w:rsidTr="000C6432">
        <w:tc>
          <w:tcPr>
            <w:tcW w:w="361" w:type="pct"/>
          </w:tcPr>
          <w:p w14:paraId="17DACFAC" w14:textId="77777777" w:rsidR="00C23AEF" w:rsidRPr="00C23AEF" w:rsidRDefault="00C23AEF" w:rsidP="000C6432">
            <w:pPr>
              <w:rPr>
                <w:rFonts w:asciiTheme="majorBidi" w:hAnsiTheme="majorBidi" w:cstheme="majorBidi"/>
              </w:rPr>
            </w:pPr>
            <w:r w:rsidRPr="00C23AEF">
              <w:rPr>
                <w:rFonts w:asciiTheme="majorBidi" w:hAnsiTheme="majorBidi" w:cstheme="majorBidi"/>
              </w:rPr>
              <w:t>3</w:t>
            </w:r>
          </w:p>
        </w:tc>
        <w:tc>
          <w:tcPr>
            <w:tcW w:w="1729" w:type="pct"/>
          </w:tcPr>
          <w:p w14:paraId="405DB9D9" w14:textId="77777777" w:rsidR="00C23AEF" w:rsidRPr="00C23AEF" w:rsidRDefault="00C23AEF" w:rsidP="000C6432">
            <w:pPr>
              <w:rPr>
                <w:rFonts w:asciiTheme="majorBidi" w:hAnsiTheme="majorBidi" w:cstheme="majorBidi"/>
              </w:rPr>
            </w:pPr>
            <w:r w:rsidRPr="00C23AEF">
              <w:rPr>
                <w:rFonts w:asciiTheme="majorBidi" w:hAnsiTheme="majorBidi" w:cstheme="majorBidi"/>
              </w:rPr>
              <w:t>Housing Policy &amp; Regulatory Specialist (One International and/or One Local)</w:t>
            </w:r>
          </w:p>
        </w:tc>
        <w:tc>
          <w:tcPr>
            <w:tcW w:w="2910" w:type="pct"/>
          </w:tcPr>
          <w:p w14:paraId="66AF94CB" w14:textId="77777777" w:rsidR="00C23AEF" w:rsidRPr="00C23AEF" w:rsidRDefault="00C23AEF" w:rsidP="000C6432">
            <w:pPr>
              <w:rPr>
                <w:rFonts w:asciiTheme="majorBidi" w:hAnsiTheme="majorBidi" w:cstheme="majorBidi"/>
              </w:rPr>
            </w:pPr>
            <w:r w:rsidRPr="00C23AEF">
              <w:rPr>
                <w:rFonts w:asciiTheme="majorBidi" w:hAnsiTheme="majorBidi" w:cstheme="majorBidi"/>
              </w:rPr>
              <w:t>Master’s degree in relevant fields (architecture, urban planning, civil engineering, real estate, business administration, finance). Minimum 7 years of relevant housing, construction, housing policy or equivalent experience. Experience in developing government incentive programs on the supply-side is preferred.</w:t>
            </w:r>
          </w:p>
        </w:tc>
      </w:tr>
      <w:tr w:rsidR="00C23AEF" w:rsidRPr="00C23AEF" w14:paraId="598D3619" w14:textId="77777777" w:rsidTr="000C6432">
        <w:tc>
          <w:tcPr>
            <w:tcW w:w="361" w:type="pct"/>
          </w:tcPr>
          <w:p w14:paraId="1529AF49" w14:textId="77777777" w:rsidR="00C23AEF" w:rsidRPr="00C23AEF" w:rsidRDefault="00C23AEF" w:rsidP="000C6432">
            <w:pPr>
              <w:rPr>
                <w:rFonts w:asciiTheme="majorBidi" w:hAnsiTheme="majorBidi" w:cstheme="majorBidi"/>
              </w:rPr>
            </w:pPr>
            <w:r w:rsidRPr="00C23AEF">
              <w:rPr>
                <w:rFonts w:asciiTheme="majorBidi" w:hAnsiTheme="majorBidi" w:cstheme="majorBidi"/>
              </w:rPr>
              <w:t>4</w:t>
            </w:r>
          </w:p>
        </w:tc>
        <w:tc>
          <w:tcPr>
            <w:tcW w:w="1729" w:type="pct"/>
          </w:tcPr>
          <w:p w14:paraId="7B3630FF" w14:textId="77777777" w:rsidR="00C23AEF" w:rsidRPr="00C23AEF" w:rsidRDefault="00C23AEF" w:rsidP="000C6432">
            <w:pPr>
              <w:rPr>
                <w:rFonts w:asciiTheme="majorBidi" w:hAnsiTheme="majorBidi" w:cstheme="majorBidi"/>
              </w:rPr>
            </w:pPr>
            <w:r w:rsidRPr="00C23AEF">
              <w:rPr>
                <w:rFonts w:asciiTheme="majorBidi" w:hAnsiTheme="majorBidi" w:cstheme="majorBidi"/>
              </w:rPr>
              <w:t>Land Registry Specialist</w:t>
            </w:r>
          </w:p>
          <w:p w14:paraId="6902B0A7" w14:textId="77777777" w:rsidR="00C23AEF" w:rsidRPr="00C23AEF" w:rsidRDefault="00C23AEF" w:rsidP="000C6432">
            <w:pPr>
              <w:rPr>
                <w:rFonts w:asciiTheme="majorBidi" w:hAnsiTheme="majorBidi" w:cstheme="majorBidi"/>
              </w:rPr>
            </w:pPr>
            <w:r w:rsidRPr="00C23AEF">
              <w:rPr>
                <w:rFonts w:asciiTheme="majorBidi" w:hAnsiTheme="majorBidi" w:cstheme="majorBidi"/>
              </w:rPr>
              <w:t>(International)</w:t>
            </w:r>
          </w:p>
        </w:tc>
        <w:tc>
          <w:tcPr>
            <w:tcW w:w="2910" w:type="pct"/>
          </w:tcPr>
          <w:p w14:paraId="273FE6FD" w14:textId="77777777" w:rsidR="00C23AEF" w:rsidRPr="00C23AEF" w:rsidRDefault="00C23AEF" w:rsidP="000C6432">
            <w:pPr>
              <w:rPr>
                <w:rFonts w:asciiTheme="majorBidi" w:hAnsiTheme="majorBidi" w:cstheme="majorBidi"/>
              </w:rPr>
            </w:pPr>
            <w:r w:rsidRPr="00C23AEF">
              <w:rPr>
                <w:rFonts w:asciiTheme="majorBidi" w:hAnsiTheme="majorBidi" w:cstheme="majorBidi"/>
              </w:rPr>
              <w:t xml:space="preserve">Master’s degree in relevant fields (architecture, urban planning, civil engineering, real estate, business administration, finance). Minimum 10 years of relevant work in land management, land cadaster and property registration, land/property system development or management, or relevant work experience. </w:t>
            </w:r>
          </w:p>
        </w:tc>
      </w:tr>
      <w:tr w:rsidR="00C23AEF" w:rsidRPr="00C23AEF" w14:paraId="22C1DD4A" w14:textId="77777777" w:rsidTr="000C6432">
        <w:tc>
          <w:tcPr>
            <w:tcW w:w="361" w:type="pct"/>
          </w:tcPr>
          <w:p w14:paraId="19615425" w14:textId="77777777" w:rsidR="00C23AEF" w:rsidRPr="00C23AEF" w:rsidRDefault="00C23AEF" w:rsidP="000C6432">
            <w:pPr>
              <w:rPr>
                <w:rFonts w:asciiTheme="majorBidi" w:hAnsiTheme="majorBidi" w:cstheme="majorBidi"/>
              </w:rPr>
            </w:pPr>
            <w:r w:rsidRPr="00C23AEF">
              <w:rPr>
                <w:rFonts w:asciiTheme="majorBidi" w:hAnsiTheme="majorBidi" w:cstheme="majorBidi"/>
              </w:rPr>
              <w:t>5</w:t>
            </w:r>
          </w:p>
        </w:tc>
        <w:tc>
          <w:tcPr>
            <w:tcW w:w="1729" w:type="pct"/>
          </w:tcPr>
          <w:p w14:paraId="45E5DAF8" w14:textId="77777777" w:rsidR="00C23AEF" w:rsidRPr="00C23AEF" w:rsidRDefault="00C23AEF" w:rsidP="000C6432">
            <w:pPr>
              <w:rPr>
                <w:rFonts w:asciiTheme="majorBidi" w:hAnsiTheme="majorBidi" w:cstheme="majorBidi"/>
              </w:rPr>
            </w:pPr>
            <w:r w:rsidRPr="00C23AEF">
              <w:rPr>
                <w:rFonts w:asciiTheme="majorBidi" w:hAnsiTheme="majorBidi" w:cstheme="majorBidi"/>
              </w:rPr>
              <w:t>Trainers (International)</w:t>
            </w:r>
          </w:p>
        </w:tc>
        <w:tc>
          <w:tcPr>
            <w:tcW w:w="2910" w:type="pct"/>
          </w:tcPr>
          <w:p w14:paraId="1E0E3988" w14:textId="77777777" w:rsidR="00C23AEF" w:rsidRPr="00C23AEF" w:rsidRDefault="00C23AEF" w:rsidP="000C6432">
            <w:pPr>
              <w:rPr>
                <w:rFonts w:asciiTheme="majorBidi" w:hAnsiTheme="majorBidi" w:cstheme="majorBidi"/>
              </w:rPr>
            </w:pPr>
            <w:proofErr w:type="gramStart"/>
            <w:r w:rsidRPr="00C23AEF">
              <w:rPr>
                <w:rFonts w:asciiTheme="majorBidi" w:hAnsiTheme="majorBidi" w:cstheme="majorBidi"/>
              </w:rPr>
              <w:t>Master</w:t>
            </w:r>
            <w:proofErr w:type="gramEnd"/>
            <w:r w:rsidRPr="00C23AEF">
              <w:rPr>
                <w:rFonts w:asciiTheme="majorBidi" w:hAnsiTheme="majorBidi" w:cstheme="majorBidi"/>
              </w:rPr>
              <w:t xml:space="preserve"> degree in relevant fields (housing development policy, real estate, PPP for housing, statistics, data science, planning, economics, or related) or at least 10 years of experience in teaching and/or training in academic environment on social housing provisioning methodologies, PPP principles, and housing policy/program development. </w:t>
            </w:r>
          </w:p>
        </w:tc>
      </w:tr>
      <w:tr w:rsidR="00C23AEF" w:rsidRPr="00C23AEF" w14:paraId="0ABE09C8" w14:textId="77777777" w:rsidTr="000C6432">
        <w:tc>
          <w:tcPr>
            <w:tcW w:w="361" w:type="pct"/>
          </w:tcPr>
          <w:p w14:paraId="02533348" w14:textId="77777777" w:rsidR="00C23AEF" w:rsidRPr="00C23AEF" w:rsidRDefault="00C23AEF" w:rsidP="000C6432">
            <w:pPr>
              <w:rPr>
                <w:rFonts w:asciiTheme="majorBidi" w:hAnsiTheme="majorBidi" w:cstheme="majorBidi"/>
              </w:rPr>
            </w:pPr>
            <w:r w:rsidRPr="00C23AEF">
              <w:rPr>
                <w:rFonts w:asciiTheme="majorBidi" w:hAnsiTheme="majorBidi" w:cstheme="majorBidi"/>
              </w:rPr>
              <w:t>6</w:t>
            </w:r>
          </w:p>
        </w:tc>
        <w:tc>
          <w:tcPr>
            <w:tcW w:w="1729" w:type="pct"/>
          </w:tcPr>
          <w:p w14:paraId="4CE30B00" w14:textId="77777777" w:rsidR="00C23AEF" w:rsidRPr="00C23AEF" w:rsidRDefault="00C23AEF" w:rsidP="000C6432">
            <w:pPr>
              <w:rPr>
                <w:rFonts w:asciiTheme="majorBidi" w:hAnsiTheme="majorBidi" w:cstheme="majorBidi"/>
              </w:rPr>
            </w:pPr>
            <w:r w:rsidRPr="00C23AEF">
              <w:rPr>
                <w:rFonts w:asciiTheme="majorBidi" w:hAnsiTheme="majorBidi" w:cstheme="majorBidi"/>
              </w:rPr>
              <w:t>Analyst(s) (Local)</w:t>
            </w:r>
          </w:p>
        </w:tc>
        <w:tc>
          <w:tcPr>
            <w:tcW w:w="2910" w:type="pct"/>
          </w:tcPr>
          <w:p w14:paraId="3D29E189" w14:textId="77777777" w:rsidR="00C23AEF" w:rsidRPr="00C23AEF" w:rsidRDefault="00C23AEF" w:rsidP="000C6432">
            <w:pPr>
              <w:rPr>
                <w:rFonts w:asciiTheme="majorBidi" w:hAnsiTheme="majorBidi" w:cstheme="majorBidi"/>
              </w:rPr>
            </w:pPr>
            <w:r w:rsidRPr="00C23AEF">
              <w:rPr>
                <w:rFonts w:asciiTheme="majorBidi" w:hAnsiTheme="majorBidi" w:cstheme="majorBidi"/>
              </w:rPr>
              <w:t>Bachelor/</w:t>
            </w:r>
            <w:proofErr w:type="gramStart"/>
            <w:r w:rsidRPr="00C23AEF">
              <w:rPr>
                <w:rFonts w:asciiTheme="majorBidi" w:hAnsiTheme="majorBidi" w:cstheme="majorBidi"/>
              </w:rPr>
              <w:t>Master</w:t>
            </w:r>
            <w:proofErr w:type="gramEnd"/>
            <w:r w:rsidRPr="00C23AEF">
              <w:rPr>
                <w:rFonts w:asciiTheme="majorBidi" w:hAnsiTheme="majorBidi" w:cstheme="majorBidi"/>
              </w:rPr>
              <w:t xml:space="preserve"> degree in relevant fields (development studies, statistics, data science, planning, economics, or related) or at least 5 years of experience in research, analytical work, policy, and project management</w:t>
            </w:r>
          </w:p>
        </w:tc>
      </w:tr>
    </w:tbl>
    <w:p w14:paraId="3789FC4C" w14:textId="77777777" w:rsidR="00C23AEF" w:rsidRDefault="00C23AEF" w:rsidP="00C23AEF">
      <w:pPr>
        <w:rPr>
          <w:rFonts w:asciiTheme="majorBidi" w:hAnsiTheme="majorBidi" w:cstheme="majorBidi"/>
        </w:rPr>
      </w:pPr>
    </w:p>
    <w:p w14:paraId="532624C4" w14:textId="77777777" w:rsidR="00C23AEF" w:rsidRDefault="00C23AEF" w:rsidP="00C23AEF">
      <w:pPr>
        <w:rPr>
          <w:rFonts w:asciiTheme="majorBidi" w:hAnsiTheme="majorBidi" w:cstheme="majorBidi"/>
        </w:rPr>
      </w:pPr>
    </w:p>
    <w:p w14:paraId="0EF94749" w14:textId="77777777" w:rsidR="00C23AEF" w:rsidRDefault="00C23AEF" w:rsidP="00C23AEF">
      <w:pPr>
        <w:rPr>
          <w:rFonts w:asciiTheme="majorBidi" w:hAnsiTheme="majorBidi" w:cstheme="majorBidi"/>
        </w:rPr>
      </w:pPr>
    </w:p>
    <w:p w14:paraId="3CAB5571" w14:textId="77777777" w:rsidR="00C23AEF" w:rsidRDefault="00C23AEF" w:rsidP="00C23AEF">
      <w:pPr>
        <w:rPr>
          <w:rFonts w:asciiTheme="majorBidi" w:hAnsiTheme="majorBidi" w:cstheme="majorBidi"/>
        </w:rPr>
      </w:pPr>
    </w:p>
    <w:p w14:paraId="6C369EA7" w14:textId="77777777" w:rsidR="00C23AEF" w:rsidRPr="00C23AEF" w:rsidRDefault="00C23AEF" w:rsidP="00C23AEF">
      <w:pPr>
        <w:rPr>
          <w:rFonts w:asciiTheme="majorBidi" w:hAnsiTheme="majorBidi" w:cstheme="majorBidi"/>
        </w:rPr>
      </w:pPr>
    </w:p>
    <w:p w14:paraId="43A0C3C1" w14:textId="77777777" w:rsidR="00C23AEF" w:rsidRPr="00C23AEF" w:rsidRDefault="00C23AEF" w:rsidP="00C23AEF">
      <w:pPr>
        <w:pStyle w:val="Heading2"/>
        <w:numPr>
          <w:ilvl w:val="0"/>
          <w:numId w:val="12"/>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Reporting, Study Duration, and Payment Terms</w:t>
      </w:r>
    </w:p>
    <w:p w14:paraId="09829C48" w14:textId="77777777" w:rsidR="00C23AEF" w:rsidRPr="00C23AEF" w:rsidRDefault="00C23AEF" w:rsidP="00C23AEF">
      <w:pPr>
        <w:rPr>
          <w:rFonts w:asciiTheme="majorBidi" w:hAnsiTheme="majorBidi" w:cstheme="majorBidi"/>
          <w:sz w:val="16"/>
          <w:szCs w:val="16"/>
        </w:rPr>
      </w:pPr>
    </w:p>
    <w:p w14:paraId="5D767526" w14:textId="7AA6EC3E" w:rsidR="00C23AEF" w:rsidRPr="00C23AEF" w:rsidRDefault="00C23AEF" w:rsidP="00C23AEF">
      <w:pPr>
        <w:jc w:val="both"/>
        <w:rPr>
          <w:rFonts w:asciiTheme="majorBidi" w:hAnsiTheme="majorBidi" w:cstheme="majorBidi"/>
        </w:rPr>
      </w:pPr>
      <w:r w:rsidRPr="00C23AEF">
        <w:rPr>
          <w:rFonts w:asciiTheme="majorBidi" w:hAnsiTheme="majorBidi" w:cstheme="majorBidi"/>
        </w:rPr>
        <w:lastRenderedPageBreak/>
        <w:t>It is estimated that this study will take 1</w:t>
      </w:r>
      <w:r w:rsidR="00940C96">
        <w:rPr>
          <w:rFonts w:asciiTheme="majorBidi" w:hAnsiTheme="majorBidi" w:cstheme="majorBidi"/>
        </w:rPr>
        <w:t xml:space="preserve">0 </w:t>
      </w:r>
      <w:r w:rsidRPr="00C23AEF">
        <w:rPr>
          <w:rFonts w:asciiTheme="majorBidi" w:hAnsiTheme="majorBidi" w:cstheme="majorBidi"/>
        </w:rPr>
        <w:t xml:space="preserve">months to complete.  The key outputs consist of reports and presentation materials supported by robust technical analytics and will be paid per the following schedule.  </w:t>
      </w:r>
    </w:p>
    <w:tbl>
      <w:tblPr>
        <w:tblStyle w:val="TableGrid"/>
        <w:tblW w:w="5000" w:type="pct"/>
        <w:tblLook w:val="04A0" w:firstRow="1" w:lastRow="0" w:firstColumn="1" w:lastColumn="0" w:noHBand="0" w:noVBand="1"/>
      </w:tblPr>
      <w:tblGrid>
        <w:gridCol w:w="3657"/>
        <w:gridCol w:w="3273"/>
        <w:gridCol w:w="2131"/>
      </w:tblGrid>
      <w:tr w:rsidR="00C23AEF" w:rsidRPr="00C23AEF" w14:paraId="6023DAAF" w14:textId="77777777" w:rsidTr="000C6432">
        <w:tc>
          <w:tcPr>
            <w:tcW w:w="2018" w:type="pct"/>
            <w:shd w:val="clear" w:color="auto" w:fill="DDD9C3" w:themeFill="background2" w:themeFillShade="E6"/>
            <w:vAlign w:val="center"/>
          </w:tcPr>
          <w:p w14:paraId="3FC61A8B" w14:textId="77777777" w:rsidR="00C23AEF" w:rsidRPr="00C23AEF" w:rsidRDefault="00C23AEF" w:rsidP="000C6432">
            <w:pPr>
              <w:pStyle w:val="NormalWeb"/>
              <w:jc w:val="center"/>
              <w:rPr>
                <w:rFonts w:asciiTheme="majorBidi" w:hAnsiTheme="majorBidi" w:cstheme="majorBidi"/>
                <w:b/>
                <w:bCs/>
                <w:sz w:val="22"/>
                <w:szCs w:val="22"/>
              </w:rPr>
            </w:pPr>
            <w:r w:rsidRPr="00C23AEF">
              <w:rPr>
                <w:rFonts w:asciiTheme="majorBidi" w:hAnsiTheme="majorBidi" w:cstheme="majorBidi"/>
                <w:b/>
                <w:bCs/>
                <w:sz w:val="22"/>
                <w:szCs w:val="22"/>
              </w:rPr>
              <w:t>Output</w:t>
            </w:r>
          </w:p>
        </w:tc>
        <w:tc>
          <w:tcPr>
            <w:tcW w:w="1806" w:type="pct"/>
            <w:shd w:val="clear" w:color="auto" w:fill="DDD9C3" w:themeFill="background2" w:themeFillShade="E6"/>
            <w:vAlign w:val="center"/>
          </w:tcPr>
          <w:p w14:paraId="2DF50B95" w14:textId="77777777" w:rsidR="00C23AEF" w:rsidRPr="00C23AEF" w:rsidRDefault="00C23AEF" w:rsidP="000C6432">
            <w:pPr>
              <w:pStyle w:val="NormalWeb"/>
              <w:jc w:val="center"/>
              <w:rPr>
                <w:rFonts w:asciiTheme="majorBidi" w:hAnsiTheme="majorBidi" w:cstheme="majorBidi"/>
                <w:b/>
                <w:bCs/>
                <w:sz w:val="22"/>
                <w:szCs w:val="22"/>
              </w:rPr>
            </w:pPr>
            <w:r w:rsidRPr="00C23AEF">
              <w:rPr>
                <w:rFonts w:asciiTheme="majorBidi" w:hAnsiTheme="majorBidi" w:cstheme="majorBidi"/>
                <w:b/>
                <w:bCs/>
                <w:sz w:val="22"/>
                <w:szCs w:val="22"/>
              </w:rPr>
              <w:t>Schedule</w:t>
            </w:r>
          </w:p>
        </w:tc>
        <w:tc>
          <w:tcPr>
            <w:tcW w:w="1176" w:type="pct"/>
            <w:shd w:val="clear" w:color="auto" w:fill="DDD9C3" w:themeFill="background2" w:themeFillShade="E6"/>
            <w:vAlign w:val="center"/>
          </w:tcPr>
          <w:p w14:paraId="2CCA18BD" w14:textId="77777777" w:rsidR="00C23AEF" w:rsidRPr="00C23AEF" w:rsidRDefault="00C23AEF" w:rsidP="000C6432">
            <w:pPr>
              <w:pStyle w:val="NormalWeb"/>
              <w:jc w:val="center"/>
              <w:rPr>
                <w:rFonts w:asciiTheme="majorBidi" w:hAnsiTheme="majorBidi" w:cstheme="majorBidi"/>
                <w:b/>
                <w:bCs/>
                <w:sz w:val="22"/>
                <w:szCs w:val="22"/>
              </w:rPr>
            </w:pPr>
            <w:r w:rsidRPr="00C23AEF">
              <w:rPr>
                <w:rFonts w:asciiTheme="majorBidi" w:hAnsiTheme="majorBidi" w:cstheme="majorBidi"/>
                <w:b/>
                <w:bCs/>
                <w:sz w:val="22"/>
                <w:szCs w:val="22"/>
              </w:rPr>
              <w:t>Suggested payment</w:t>
            </w:r>
          </w:p>
        </w:tc>
      </w:tr>
      <w:tr w:rsidR="00C23AEF" w:rsidRPr="00C23AEF" w14:paraId="7A4325DB" w14:textId="77777777" w:rsidTr="000C6432">
        <w:trPr>
          <w:trHeight w:val="551"/>
        </w:trPr>
        <w:tc>
          <w:tcPr>
            <w:tcW w:w="2018" w:type="pct"/>
          </w:tcPr>
          <w:p w14:paraId="5A89451D" w14:textId="77777777" w:rsidR="00C23AEF" w:rsidRPr="00C23AEF" w:rsidRDefault="00C23AEF" w:rsidP="000C6432">
            <w:pPr>
              <w:pStyle w:val="NormalWeb"/>
              <w:rPr>
                <w:rFonts w:asciiTheme="majorBidi" w:hAnsiTheme="majorBidi" w:cstheme="majorBidi"/>
                <w:sz w:val="22"/>
                <w:szCs w:val="22"/>
              </w:rPr>
            </w:pPr>
            <w:r w:rsidRPr="00C23AEF">
              <w:rPr>
                <w:rFonts w:asciiTheme="majorBidi" w:hAnsiTheme="majorBidi" w:cstheme="majorBidi"/>
                <w:sz w:val="22"/>
                <w:szCs w:val="22"/>
              </w:rPr>
              <w:t xml:space="preserve">Inception report, including the detailed work plan and methodology </w:t>
            </w:r>
          </w:p>
        </w:tc>
        <w:tc>
          <w:tcPr>
            <w:tcW w:w="1806" w:type="pct"/>
          </w:tcPr>
          <w:p w14:paraId="5F2D45B2"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 xml:space="preserve">Within a month after the effective date of contract          </w:t>
            </w:r>
          </w:p>
        </w:tc>
        <w:tc>
          <w:tcPr>
            <w:tcW w:w="1176" w:type="pct"/>
            <w:vAlign w:val="center"/>
          </w:tcPr>
          <w:p w14:paraId="66D7A789"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10%</w:t>
            </w:r>
          </w:p>
        </w:tc>
      </w:tr>
      <w:tr w:rsidR="00C23AEF" w:rsidRPr="00C23AEF" w14:paraId="14A92B3F" w14:textId="77777777" w:rsidTr="000C6432">
        <w:tc>
          <w:tcPr>
            <w:tcW w:w="2018" w:type="pct"/>
          </w:tcPr>
          <w:p w14:paraId="7D1042C2" w14:textId="77777777" w:rsidR="00C23AEF" w:rsidRPr="00C23AEF" w:rsidRDefault="00C23AEF" w:rsidP="000C6432">
            <w:pPr>
              <w:pStyle w:val="NormalWeb"/>
              <w:rPr>
                <w:rFonts w:asciiTheme="majorBidi" w:hAnsiTheme="majorBidi" w:cstheme="majorBidi"/>
                <w:sz w:val="22"/>
                <w:szCs w:val="22"/>
              </w:rPr>
            </w:pPr>
            <w:r w:rsidRPr="00C23AEF">
              <w:rPr>
                <w:rFonts w:asciiTheme="majorBidi" w:hAnsiTheme="majorBidi" w:cstheme="majorBidi"/>
                <w:sz w:val="22"/>
                <w:szCs w:val="22"/>
              </w:rPr>
              <w:t xml:space="preserve">Progress Report for Activity 1 </w:t>
            </w:r>
          </w:p>
        </w:tc>
        <w:tc>
          <w:tcPr>
            <w:tcW w:w="1806" w:type="pct"/>
          </w:tcPr>
          <w:p w14:paraId="73DE0495"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Month 6</w:t>
            </w:r>
            <w:r w:rsidRPr="00C23AEF">
              <w:rPr>
                <w:rFonts w:asciiTheme="majorBidi" w:hAnsiTheme="majorBidi" w:cstheme="majorBidi"/>
                <w:sz w:val="22"/>
                <w:szCs w:val="22"/>
                <w:vertAlign w:val="superscript"/>
              </w:rPr>
              <w:t>th</w:t>
            </w:r>
            <w:r w:rsidRPr="00C23AEF">
              <w:rPr>
                <w:rFonts w:asciiTheme="majorBidi" w:hAnsiTheme="majorBidi" w:cstheme="majorBidi"/>
                <w:sz w:val="22"/>
                <w:szCs w:val="22"/>
              </w:rPr>
              <w:t xml:space="preserve"> after contract signing</w:t>
            </w:r>
          </w:p>
        </w:tc>
        <w:tc>
          <w:tcPr>
            <w:tcW w:w="1176" w:type="pct"/>
            <w:vAlign w:val="center"/>
          </w:tcPr>
          <w:p w14:paraId="2762CEED"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30%</w:t>
            </w:r>
          </w:p>
        </w:tc>
      </w:tr>
      <w:tr w:rsidR="00C23AEF" w:rsidRPr="00C23AEF" w14:paraId="077BAED6" w14:textId="77777777" w:rsidTr="000C6432">
        <w:tc>
          <w:tcPr>
            <w:tcW w:w="2018" w:type="pct"/>
          </w:tcPr>
          <w:p w14:paraId="38ECDEDD" w14:textId="77777777" w:rsidR="00C23AEF" w:rsidRPr="00C23AEF" w:rsidRDefault="00C23AEF" w:rsidP="000C6432">
            <w:pPr>
              <w:pStyle w:val="NormalWeb"/>
              <w:rPr>
                <w:rFonts w:asciiTheme="majorBidi" w:hAnsiTheme="majorBidi" w:cstheme="majorBidi"/>
                <w:sz w:val="22"/>
                <w:szCs w:val="22"/>
              </w:rPr>
            </w:pPr>
            <w:r w:rsidRPr="00C23AEF">
              <w:rPr>
                <w:rFonts w:asciiTheme="majorBidi" w:hAnsiTheme="majorBidi" w:cstheme="majorBidi"/>
                <w:sz w:val="22"/>
                <w:szCs w:val="22"/>
              </w:rPr>
              <w:t>Progress Report for Activity 3</w:t>
            </w:r>
          </w:p>
        </w:tc>
        <w:tc>
          <w:tcPr>
            <w:tcW w:w="1806" w:type="pct"/>
          </w:tcPr>
          <w:p w14:paraId="722E88FE" w14:textId="2D2291E0"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 xml:space="preserve">Month </w:t>
            </w:r>
            <w:r w:rsidR="006B0DE9">
              <w:rPr>
                <w:rFonts w:asciiTheme="majorBidi" w:hAnsiTheme="majorBidi" w:cstheme="majorBidi"/>
                <w:sz w:val="22"/>
                <w:szCs w:val="22"/>
              </w:rPr>
              <w:t>8</w:t>
            </w:r>
            <w:r w:rsidRPr="00C23AEF">
              <w:rPr>
                <w:rFonts w:asciiTheme="majorBidi" w:hAnsiTheme="majorBidi" w:cstheme="majorBidi"/>
                <w:sz w:val="22"/>
                <w:szCs w:val="22"/>
                <w:vertAlign w:val="superscript"/>
              </w:rPr>
              <w:t>th</w:t>
            </w:r>
            <w:r w:rsidRPr="00C23AEF">
              <w:rPr>
                <w:rFonts w:asciiTheme="majorBidi" w:hAnsiTheme="majorBidi" w:cstheme="majorBidi"/>
                <w:sz w:val="22"/>
                <w:szCs w:val="22"/>
              </w:rPr>
              <w:t xml:space="preserve"> after contract signing</w:t>
            </w:r>
          </w:p>
        </w:tc>
        <w:tc>
          <w:tcPr>
            <w:tcW w:w="1176" w:type="pct"/>
            <w:vAlign w:val="center"/>
          </w:tcPr>
          <w:p w14:paraId="7E4A67C3"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30%</w:t>
            </w:r>
          </w:p>
        </w:tc>
      </w:tr>
      <w:tr w:rsidR="00C23AEF" w:rsidRPr="00C23AEF" w14:paraId="47EB1E04" w14:textId="77777777" w:rsidTr="000C6432">
        <w:tc>
          <w:tcPr>
            <w:tcW w:w="2018" w:type="pct"/>
          </w:tcPr>
          <w:p w14:paraId="2EEEF91F" w14:textId="77777777" w:rsidR="00C23AEF" w:rsidRPr="00C23AEF" w:rsidRDefault="00C23AEF" w:rsidP="000C6432">
            <w:pPr>
              <w:pStyle w:val="NormalWeb"/>
              <w:rPr>
                <w:rFonts w:asciiTheme="majorBidi" w:hAnsiTheme="majorBidi" w:cstheme="majorBidi"/>
                <w:sz w:val="22"/>
                <w:szCs w:val="22"/>
              </w:rPr>
            </w:pPr>
            <w:r w:rsidRPr="00C23AEF">
              <w:rPr>
                <w:rFonts w:asciiTheme="majorBidi" w:hAnsiTheme="majorBidi" w:cstheme="majorBidi"/>
                <w:sz w:val="22"/>
                <w:szCs w:val="22"/>
              </w:rPr>
              <w:t xml:space="preserve">Final report </w:t>
            </w:r>
            <w:proofErr w:type="gramStart"/>
            <w:r w:rsidRPr="00C23AEF">
              <w:rPr>
                <w:rFonts w:asciiTheme="majorBidi" w:hAnsiTheme="majorBidi" w:cstheme="majorBidi"/>
                <w:sz w:val="22"/>
                <w:szCs w:val="22"/>
              </w:rPr>
              <w:t>for</w:t>
            </w:r>
            <w:proofErr w:type="gramEnd"/>
            <w:r w:rsidRPr="00C23AEF">
              <w:rPr>
                <w:rFonts w:asciiTheme="majorBidi" w:hAnsiTheme="majorBidi" w:cstheme="majorBidi"/>
                <w:sz w:val="22"/>
                <w:szCs w:val="22"/>
              </w:rPr>
              <w:t xml:space="preserve"> all activities</w:t>
            </w:r>
          </w:p>
        </w:tc>
        <w:tc>
          <w:tcPr>
            <w:tcW w:w="1806" w:type="pct"/>
          </w:tcPr>
          <w:p w14:paraId="20D7E8A4" w14:textId="3387AA6A"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 xml:space="preserve">Month </w:t>
            </w:r>
            <w:r w:rsidR="006B0DE9">
              <w:rPr>
                <w:rFonts w:asciiTheme="majorBidi" w:hAnsiTheme="majorBidi" w:cstheme="majorBidi"/>
                <w:sz w:val="22"/>
                <w:szCs w:val="22"/>
              </w:rPr>
              <w:t>10</w:t>
            </w:r>
            <w:r w:rsidRPr="00C23AEF">
              <w:rPr>
                <w:rFonts w:asciiTheme="majorBidi" w:hAnsiTheme="majorBidi" w:cstheme="majorBidi"/>
                <w:sz w:val="22"/>
                <w:szCs w:val="22"/>
                <w:vertAlign w:val="superscript"/>
              </w:rPr>
              <w:t>th</w:t>
            </w:r>
            <w:r w:rsidRPr="00C23AEF">
              <w:rPr>
                <w:rFonts w:asciiTheme="majorBidi" w:hAnsiTheme="majorBidi" w:cstheme="majorBidi"/>
                <w:sz w:val="22"/>
                <w:szCs w:val="22"/>
              </w:rPr>
              <w:t xml:space="preserve"> after contract signing</w:t>
            </w:r>
          </w:p>
        </w:tc>
        <w:tc>
          <w:tcPr>
            <w:tcW w:w="1176" w:type="pct"/>
            <w:vAlign w:val="center"/>
          </w:tcPr>
          <w:p w14:paraId="16048EE8" w14:textId="77777777" w:rsidR="00C23AEF" w:rsidRPr="00C23AEF" w:rsidRDefault="00C23AEF" w:rsidP="000C6432">
            <w:pPr>
              <w:pStyle w:val="NormalWeb"/>
              <w:jc w:val="center"/>
              <w:rPr>
                <w:rFonts w:asciiTheme="majorBidi" w:hAnsiTheme="majorBidi" w:cstheme="majorBidi"/>
                <w:sz w:val="22"/>
                <w:szCs w:val="22"/>
              </w:rPr>
            </w:pPr>
            <w:r w:rsidRPr="00C23AEF">
              <w:rPr>
                <w:rFonts w:asciiTheme="majorBidi" w:hAnsiTheme="majorBidi" w:cstheme="majorBidi"/>
                <w:sz w:val="22"/>
                <w:szCs w:val="22"/>
              </w:rPr>
              <w:t>30%</w:t>
            </w:r>
          </w:p>
        </w:tc>
      </w:tr>
    </w:tbl>
    <w:p w14:paraId="1B1A0C64" w14:textId="16516731" w:rsidR="00C23AEF" w:rsidRPr="00C23AEF" w:rsidRDefault="00C23AEF" w:rsidP="00C23AEF">
      <w:pPr>
        <w:rPr>
          <w:rFonts w:asciiTheme="majorBidi" w:hAnsiTheme="majorBidi" w:cstheme="majorBidi"/>
        </w:rPr>
      </w:pPr>
      <w:r w:rsidRPr="00C23AEF">
        <w:rPr>
          <w:rFonts w:asciiTheme="majorBidi" w:hAnsiTheme="majorBidi" w:cstheme="majorBidi"/>
        </w:rPr>
        <w:t xml:space="preserve">The outputs for this assignment must be of a quality acceptable to </w:t>
      </w:r>
      <w:proofErr w:type="spellStart"/>
      <w:r w:rsidRPr="00C23AEF">
        <w:rPr>
          <w:rFonts w:asciiTheme="majorBidi" w:hAnsiTheme="majorBidi" w:cstheme="majorBidi"/>
        </w:rPr>
        <w:t>MoCHI</w:t>
      </w:r>
      <w:proofErr w:type="spellEnd"/>
      <w:r w:rsidRPr="00C23AEF">
        <w:rPr>
          <w:rFonts w:asciiTheme="majorBidi" w:hAnsiTheme="majorBidi" w:cstheme="majorBidi"/>
        </w:rPr>
        <w:t xml:space="preserve"> and </w:t>
      </w:r>
      <w:proofErr w:type="spellStart"/>
      <w:r w:rsidRPr="00C23AEF">
        <w:rPr>
          <w:rFonts w:asciiTheme="majorBidi" w:hAnsiTheme="majorBidi" w:cstheme="majorBidi"/>
        </w:rPr>
        <w:t>MoFP</w:t>
      </w:r>
      <w:proofErr w:type="spellEnd"/>
      <w:r w:rsidRPr="00C23AEF">
        <w:rPr>
          <w:rFonts w:asciiTheme="majorBidi" w:hAnsiTheme="majorBidi" w:cstheme="majorBidi"/>
        </w:rPr>
        <w:t xml:space="preserve"> before the payments are processed. </w:t>
      </w:r>
    </w:p>
    <w:p w14:paraId="0A9CE04F" w14:textId="0CC2555C" w:rsidR="00C23AEF" w:rsidRPr="00C23AEF" w:rsidRDefault="00C23AEF" w:rsidP="00C23AEF">
      <w:pPr>
        <w:pStyle w:val="Heading2"/>
        <w:numPr>
          <w:ilvl w:val="0"/>
          <w:numId w:val="12"/>
        </w:numPr>
        <w:tabs>
          <w:tab w:val="num" w:pos="360"/>
        </w:tabs>
        <w:ind w:left="0" w:firstLine="0"/>
        <w:rPr>
          <w:rFonts w:asciiTheme="majorBidi" w:hAnsiTheme="majorBidi"/>
          <w:b/>
          <w:bCs/>
          <w:color w:val="auto"/>
          <w:sz w:val="22"/>
          <w:szCs w:val="22"/>
        </w:rPr>
      </w:pPr>
      <w:r w:rsidRPr="00C23AEF">
        <w:rPr>
          <w:rFonts w:asciiTheme="majorBidi" w:hAnsiTheme="majorBidi"/>
          <w:b/>
          <w:bCs/>
          <w:color w:val="auto"/>
          <w:sz w:val="22"/>
          <w:szCs w:val="22"/>
        </w:rPr>
        <w:t>Timeline</w:t>
      </w: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91"/>
        <w:gridCol w:w="3541"/>
        <w:gridCol w:w="490"/>
        <w:gridCol w:w="489"/>
        <w:gridCol w:w="489"/>
        <w:gridCol w:w="489"/>
        <w:gridCol w:w="489"/>
        <w:gridCol w:w="489"/>
        <w:gridCol w:w="489"/>
        <w:gridCol w:w="489"/>
        <w:gridCol w:w="489"/>
        <w:gridCol w:w="493"/>
      </w:tblGrid>
      <w:tr w:rsidR="00C23AEF" w:rsidRPr="006268ED" w14:paraId="313059DE" w14:textId="77777777" w:rsidTr="00C23AEF">
        <w:trPr>
          <w:trHeight w:val="440"/>
          <w:tblHeader/>
        </w:trPr>
        <w:tc>
          <w:tcPr>
            <w:tcW w:w="327" w:type="pct"/>
            <w:vMerge w:val="restart"/>
            <w:shd w:val="clear" w:color="auto" w:fill="44546A"/>
            <w:vAlign w:val="center"/>
          </w:tcPr>
          <w:p w14:paraId="4BC21CFF" w14:textId="0D0892C0" w:rsidR="00C23AEF" w:rsidRPr="00C23AEF" w:rsidRDefault="00C23AEF" w:rsidP="000C6432">
            <w:pPr>
              <w:jc w:val="center"/>
              <w:rPr>
                <w:rFonts w:asciiTheme="majorBidi" w:eastAsia="Times New Roman" w:hAnsiTheme="majorBidi" w:cstheme="majorBidi"/>
                <w:color w:val="FFFFFF"/>
              </w:rPr>
            </w:pPr>
            <w:r w:rsidRPr="00C23AEF">
              <w:rPr>
                <w:rFonts w:asciiTheme="majorBidi" w:eastAsia="Times New Roman" w:hAnsiTheme="majorBidi" w:cstheme="majorBidi"/>
                <w:color w:val="FFFFFF"/>
              </w:rPr>
              <w:t>NO</w:t>
            </w:r>
          </w:p>
        </w:tc>
        <w:tc>
          <w:tcPr>
            <w:tcW w:w="1961" w:type="pct"/>
            <w:vMerge w:val="restart"/>
            <w:shd w:val="clear" w:color="auto" w:fill="44546A"/>
            <w:vAlign w:val="center"/>
          </w:tcPr>
          <w:p w14:paraId="70DF2E50" w14:textId="6D5C75B1" w:rsidR="00C23AEF" w:rsidRPr="00C23AEF" w:rsidRDefault="00C23AEF" w:rsidP="000C6432">
            <w:pPr>
              <w:jc w:val="center"/>
              <w:rPr>
                <w:rFonts w:asciiTheme="majorBidi" w:eastAsia="Times New Roman" w:hAnsiTheme="majorBidi" w:cstheme="majorBidi"/>
                <w:color w:val="FFFFFF"/>
              </w:rPr>
            </w:pPr>
            <w:r w:rsidRPr="00C23AEF">
              <w:rPr>
                <w:rFonts w:asciiTheme="majorBidi" w:eastAsia="Times New Roman" w:hAnsiTheme="majorBidi" w:cstheme="majorBidi"/>
                <w:color w:val="FFFFFF"/>
              </w:rPr>
              <w:t>Action Item</w:t>
            </w:r>
          </w:p>
        </w:tc>
        <w:tc>
          <w:tcPr>
            <w:tcW w:w="2711" w:type="pct"/>
            <w:gridSpan w:val="10"/>
            <w:shd w:val="clear" w:color="auto" w:fill="44546A"/>
            <w:noWrap/>
            <w:vAlign w:val="center"/>
          </w:tcPr>
          <w:p w14:paraId="57CB66B7" w14:textId="74B303FA"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Month</w:t>
            </w:r>
          </w:p>
        </w:tc>
      </w:tr>
      <w:tr w:rsidR="00C23AEF" w:rsidRPr="006268ED" w14:paraId="7737C0BB" w14:textId="77777777" w:rsidTr="00C23AEF">
        <w:trPr>
          <w:trHeight w:val="215"/>
          <w:tblHeader/>
        </w:trPr>
        <w:tc>
          <w:tcPr>
            <w:tcW w:w="327" w:type="pct"/>
            <w:vMerge/>
            <w:shd w:val="clear" w:color="auto" w:fill="44546A"/>
            <w:vAlign w:val="center"/>
            <w:hideMark/>
          </w:tcPr>
          <w:p w14:paraId="0DD187BE" w14:textId="77777777" w:rsidR="00C23AEF" w:rsidRPr="00C23AEF" w:rsidRDefault="00C23AEF" w:rsidP="000C6432">
            <w:pPr>
              <w:jc w:val="center"/>
              <w:rPr>
                <w:rFonts w:asciiTheme="majorBidi" w:eastAsia="Times New Roman" w:hAnsiTheme="majorBidi" w:cstheme="majorBidi"/>
                <w:color w:val="FFFFFF"/>
              </w:rPr>
            </w:pPr>
          </w:p>
        </w:tc>
        <w:tc>
          <w:tcPr>
            <w:tcW w:w="1961" w:type="pct"/>
            <w:vMerge/>
            <w:shd w:val="clear" w:color="auto" w:fill="44546A"/>
            <w:vAlign w:val="center"/>
            <w:hideMark/>
          </w:tcPr>
          <w:p w14:paraId="3A51443D" w14:textId="77777777" w:rsidR="00C23AEF" w:rsidRPr="00C23AEF" w:rsidRDefault="00C23AEF" w:rsidP="000C6432">
            <w:pPr>
              <w:jc w:val="center"/>
              <w:rPr>
                <w:rFonts w:asciiTheme="majorBidi" w:eastAsia="Times New Roman" w:hAnsiTheme="majorBidi" w:cstheme="majorBidi"/>
                <w:color w:val="FFFFFF"/>
              </w:rPr>
            </w:pPr>
          </w:p>
        </w:tc>
        <w:tc>
          <w:tcPr>
            <w:tcW w:w="271" w:type="pct"/>
            <w:shd w:val="clear" w:color="auto" w:fill="44546A"/>
            <w:noWrap/>
            <w:vAlign w:val="center"/>
            <w:hideMark/>
          </w:tcPr>
          <w:p w14:paraId="5AB3A52F"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1</w:t>
            </w:r>
          </w:p>
        </w:tc>
        <w:tc>
          <w:tcPr>
            <w:tcW w:w="271" w:type="pct"/>
            <w:shd w:val="clear" w:color="auto" w:fill="44546A"/>
            <w:noWrap/>
            <w:vAlign w:val="center"/>
            <w:hideMark/>
          </w:tcPr>
          <w:p w14:paraId="38D4F1CA"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2</w:t>
            </w:r>
          </w:p>
        </w:tc>
        <w:tc>
          <w:tcPr>
            <w:tcW w:w="271" w:type="pct"/>
            <w:shd w:val="clear" w:color="auto" w:fill="44546A"/>
            <w:vAlign w:val="center"/>
          </w:tcPr>
          <w:p w14:paraId="5C4C9392"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3</w:t>
            </w:r>
          </w:p>
        </w:tc>
        <w:tc>
          <w:tcPr>
            <w:tcW w:w="271" w:type="pct"/>
            <w:shd w:val="clear" w:color="auto" w:fill="44546A"/>
            <w:noWrap/>
            <w:vAlign w:val="center"/>
            <w:hideMark/>
          </w:tcPr>
          <w:p w14:paraId="00C622EE"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4</w:t>
            </w:r>
          </w:p>
        </w:tc>
        <w:tc>
          <w:tcPr>
            <w:tcW w:w="271" w:type="pct"/>
            <w:shd w:val="clear" w:color="auto" w:fill="44546A"/>
            <w:noWrap/>
            <w:vAlign w:val="center"/>
            <w:hideMark/>
          </w:tcPr>
          <w:p w14:paraId="4C36C499"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5</w:t>
            </w:r>
          </w:p>
        </w:tc>
        <w:tc>
          <w:tcPr>
            <w:tcW w:w="271" w:type="pct"/>
            <w:shd w:val="clear" w:color="auto" w:fill="44546A"/>
            <w:noWrap/>
            <w:vAlign w:val="center"/>
            <w:hideMark/>
          </w:tcPr>
          <w:p w14:paraId="6C210E01"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6</w:t>
            </w:r>
          </w:p>
        </w:tc>
        <w:tc>
          <w:tcPr>
            <w:tcW w:w="271" w:type="pct"/>
            <w:shd w:val="clear" w:color="auto" w:fill="44546A"/>
            <w:noWrap/>
            <w:vAlign w:val="center"/>
            <w:hideMark/>
          </w:tcPr>
          <w:p w14:paraId="4B231B4C"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7</w:t>
            </w:r>
          </w:p>
        </w:tc>
        <w:tc>
          <w:tcPr>
            <w:tcW w:w="271" w:type="pct"/>
            <w:shd w:val="clear" w:color="auto" w:fill="44546A"/>
            <w:vAlign w:val="center"/>
          </w:tcPr>
          <w:p w14:paraId="1CDB11D9"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8</w:t>
            </w:r>
          </w:p>
        </w:tc>
        <w:tc>
          <w:tcPr>
            <w:tcW w:w="271" w:type="pct"/>
            <w:shd w:val="clear" w:color="auto" w:fill="44546A"/>
            <w:vAlign w:val="center"/>
          </w:tcPr>
          <w:p w14:paraId="1B486024"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9</w:t>
            </w:r>
          </w:p>
        </w:tc>
        <w:tc>
          <w:tcPr>
            <w:tcW w:w="273" w:type="pct"/>
            <w:shd w:val="clear" w:color="auto" w:fill="44546A"/>
            <w:vAlign w:val="center"/>
          </w:tcPr>
          <w:p w14:paraId="429D024B" w14:textId="77777777" w:rsidR="00C23AEF" w:rsidRPr="00C23AEF" w:rsidRDefault="00C23AEF" w:rsidP="000C6432">
            <w:pPr>
              <w:jc w:val="center"/>
              <w:rPr>
                <w:rFonts w:asciiTheme="majorBidi" w:eastAsia="Times New Roman" w:hAnsiTheme="majorBidi" w:cstheme="majorBidi"/>
                <w:color w:val="FFFFFF"/>
                <w:sz w:val="20"/>
                <w:szCs w:val="20"/>
              </w:rPr>
            </w:pPr>
            <w:r w:rsidRPr="00C23AEF">
              <w:rPr>
                <w:rFonts w:asciiTheme="majorBidi" w:eastAsia="Times New Roman" w:hAnsiTheme="majorBidi" w:cstheme="majorBidi"/>
                <w:color w:val="FFFFFF"/>
                <w:sz w:val="20"/>
                <w:szCs w:val="20"/>
              </w:rPr>
              <w:t>10</w:t>
            </w:r>
          </w:p>
        </w:tc>
      </w:tr>
      <w:tr w:rsidR="00C23AEF" w:rsidRPr="006268ED" w14:paraId="7BAE2C55" w14:textId="77777777" w:rsidTr="00C23AEF">
        <w:trPr>
          <w:trHeight w:val="260"/>
        </w:trPr>
        <w:tc>
          <w:tcPr>
            <w:tcW w:w="327" w:type="pct"/>
            <w:shd w:val="clear" w:color="auto" w:fill="auto"/>
            <w:noWrap/>
            <w:vAlign w:val="center"/>
            <w:hideMark/>
          </w:tcPr>
          <w:p w14:paraId="30E9BA99"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1</w:t>
            </w:r>
          </w:p>
        </w:tc>
        <w:tc>
          <w:tcPr>
            <w:tcW w:w="1961" w:type="pct"/>
            <w:shd w:val="clear" w:color="auto" w:fill="auto"/>
            <w:noWrap/>
            <w:vAlign w:val="center"/>
          </w:tcPr>
          <w:p w14:paraId="11A85262" w14:textId="77777777" w:rsidR="00C23AEF" w:rsidRPr="00C23AEF" w:rsidRDefault="00C23AEF" w:rsidP="000C6432">
            <w:pPr>
              <w:rPr>
                <w:rFonts w:asciiTheme="majorBidi" w:eastAsia="Times New Roman" w:hAnsiTheme="majorBidi" w:cstheme="majorBidi"/>
                <w:color w:val="000000"/>
              </w:rPr>
            </w:pPr>
            <w:r w:rsidRPr="00C23AEF">
              <w:rPr>
                <w:rFonts w:asciiTheme="majorBidi" w:eastAsia="Calibri" w:hAnsiTheme="majorBidi" w:cstheme="majorBidi"/>
                <w:lang w:val="en-ID"/>
              </w:rPr>
              <w:t>Launch meeting &amp; Inception report</w:t>
            </w:r>
          </w:p>
        </w:tc>
        <w:tc>
          <w:tcPr>
            <w:tcW w:w="271" w:type="pct"/>
            <w:shd w:val="clear" w:color="auto" w:fill="70AD47"/>
            <w:noWrap/>
            <w:vAlign w:val="center"/>
            <w:hideMark/>
          </w:tcPr>
          <w:p w14:paraId="016D221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52C09CF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4251E7A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5B30BAA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777548FE"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697E3E8B"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2B324785"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42EE77CF"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51770668"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auto"/>
            <w:vAlign w:val="center"/>
          </w:tcPr>
          <w:p w14:paraId="5E3DA530"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67F92243" w14:textId="77777777" w:rsidTr="00C23AEF">
        <w:trPr>
          <w:trHeight w:val="917"/>
        </w:trPr>
        <w:tc>
          <w:tcPr>
            <w:tcW w:w="327" w:type="pct"/>
            <w:shd w:val="clear" w:color="auto" w:fill="auto"/>
            <w:noWrap/>
            <w:vAlign w:val="center"/>
          </w:tcPr>
          <w:p w14:paraId="63E7AE84"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2</w:t>
            </w:r>
          </w:p>
        </w:tc>
        <w:tc>
          <w:tcPr>
            <w:tcW w:w="1961" w:type="pct"/>
            <w:shd w:val="clear" w:color="auto" w:fill="auto"/>
            <w:noWrap/>
            <w:vAlign w:val="center"/>
          </w:tcPr>
          <w:p w14:paraId="4A1EDEAF" w14:textId="77777777" w:rsidR="00C23AEF" w:rsidRPr="00C23AEF" w:rsidRDefault="00C23AEF" w:rsidP="000C6432">
            <w:pPr>
              <w:rPr>
                <w:rFonts w:asciiTheme="majorBidi" w:eastAsia="Times New Roman" w:hAnsiTheme="majorBidi" w:cstheme="majorBidi"/>
                <w:b/>
                <w:bCs/>
                <w:color w:val="000000"/>
              </w:rPr>
            </w:pPr>
            <w:r w:rsidRPr="00C23AEF">
              <w:rPr>
                <w:rFonts w:asciiTheme="majorBidi" w:eastAsia="Times New Roman" w:hAnsiTheme="majorBidi" w:cstheme="majorBidi"/>
                <w:b/>
                <w:bCs/>
                <w:color w:val="000000"/>
              </w:rPr>
              <w:t>Activity 1: Recommendation of Supply-side Interventions for Affordable Housing</w:t>
            </w:r>
          </w:p>
        </w:tc>
        <w:tc>
          <w:tcPr>
            <w:tcW w:w="271" w:type="pct"/>
            <w:shd w:val="clear" w:color="auto" w:fill="FFFFFF"/>
            <w:noWrap/>
            <w:vAlign w:val="center"/>
          </w:tcPr>
          <w:p w14:paraId="1D51CC8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tcPr>
          <w:p w14:paraId="661FE83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711BDD38"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tcPr>
          <w:p w14:paraId="55028E60"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tcPr>
          <w:p w14:paraId="5E1CDB6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tcPr>
          <w:p w14:paraId="1419F92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tcPr>
          <w:p w14:paraId="437814E0"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70C5A8B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69E58DE7"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70AD47"/>
            <w:vAlign w:val="center"/>
          </w:tcPr>
          <w:p w14:paraId="2681BDA6"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600E4EA6" w14:textId="77777777" w:rsidTr="00C23AEF">
        <w:trPr>
          <w:trHeight w:val="576"/>
        </w:trPr>
        <w:tc>
          <w:tcPr>
            <w:tcW w:w="327" w:type="pct"/>
            <w:shd w:val="clear" w:color="auto" w:fill="auto"/>
            <w:noWrap/>
            <w:vAlign w:val="center"/>
          </w:tcPr>
          <w:p w14:paraId="5BA45E8C"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3</w:t>
            </w:r>
          </w:p>
        </w:tc>
        <w:tc>
          <w:tcPr>
            <w:tcW w:w="1961" w:type="pct"/>
            <w:shd w:val="clear" w:color="auto" w:fill="auto"/>
            <w:noWrap/>
            <w:vAlign w:val="center"/>
          </w:tcPr>
          <w:p w14:paraId="4BCC0483" w14:textId="77777777" w:rsidR="00C23AEF" w:rsidRPr="00C23AEF" w:rsidRDefault="00C23AEF" w:rsidP="00C23AEF">
            <w:pPr>
              <w:spacing w:after="0"/>
              <w:rPr>
                <w:rFonts w:asciiTheme="majorBidi" w:eastAsia="Times New Roman" w:hAnsiTheme="majorBidi" w:cstheme="majorBidi"/>
                <w:color w:val="000000"/>
              </w:rPr>
            </w:pPr>
            <w:r w:rsidRPr="00C23AEF">
              <w:rPr>
                <w:rFonts w:asciiTheme="majorBidi" w:eastAsia="Calibri" w:hAnsiTheme="majorBidi" w:cstheme="majorBidi"/>
                <w:lang w:val="en-ID"/>
              </w:rPr>
              <w:t xml:space="preserve">1.1.a: Supply-side program design, targeting, financial </w:t>
            </w:r>
            <w:proofErr w:type="spellStart"/>
            <w:r w:rsidRPr="00C23AEF">
              <w:rPr>
                <w:rFonts w:asciiTheme="majorBidi" w:eastAsia="Calibri" w:hAnsiTheme="majorBidi" w:cstheme="majorBidi"/>
                <w:lang w:val="en-ID"/>
              </w:rPr>
              <w:t>modeling</w:t>
            </w:r>
            <w:proofErr w:type="spellEnd"/>
            <w:r w:rsidRPr="00C23AEF">
              <w:rPr>
                <w:rFonts w:asciiTheme="majorBidi" w:eastAsia="Calibri" w:hAnsiTheme="majorBidi" w:cstheme="majorBidi"/>
                <w:lang w:val="en-ID"/>
              </w:rPr>
              <w:t>, and cost-benefit analysis.</w:t>
            </w:r>
          </w:p>
        </w:tc>
        <w:tc>
          <w:tcPr>
            <w:tcW w:w="271" w:type="pct"/>
            <w:shd w:val="clear" w:color="auto" w:fill="auto"/>
            <w:noWrap/>
            <w:vAlign w:val="center"/>
          </w:tcPr>
          <w:p w14:paraId="6CD605C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tcPr>
          <w:p w14:paraId="69A7BA1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vAlign w:val="center"/>
          </w:tcPr>
          <w:p w14:paraId="629B03A8"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tcPr>
          <w:p w14:paraId="6FE8352C"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tcPr>
          <w:p w14:paraId="3A4CBD7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2D0D480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719157E2"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6FE5786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5148F8A2"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auto"/>
            <w:vAlign w:val="center"/>
          </w:tcPr>
          <w:p w14:paraId="77774A5F"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1FD778E8" w14:textId="77777777" w:rsidTr="00C23AEF">
        <w:trPr>
          <w:trHeight w:val="576"/>
        </w:trPr>
        <w:tc>
          <w:tcPr>
            <w:tcW w:w="327" w:type="pct"/>
            <w:shd w:val="clear" w:color="auto" w:fill="auto"/>
            <w:noWrap/>
            <w:vAlign w:val="center"/>
            <w:hideMark/>
          </w:tcPr>
          <w:p w14:paraId="1FEC2D11"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4</w:t>
            </w:r>
          </w:p>
        </w:tc>
        <w:tc>
          <w:tcPr>
            <w:tcW w:w="1961" w:type="pct"/>
            <w:shd w:val="clear" w:color="auto" w:fill="auto"/>
            <w:noWrap/>
            <w:vAlign w:val="center"/>
          </w:tcPr>
          <w:p w14:paraId="4289BB32" w14:textId="77777777" w:rsidR="00C23AEF" w:rsidRPr="00C23AEF" w:rsidRDefault="00C23AEF" w:rsidP="00C23AEF">
            <w:pPr>
              <w:spacing w:after="0"/>
              <w:rPr>
                <w:rFonts w:asciiTheme="majorBidi" w:eastAsia="Times New Roman" w:hAnsiTheme="majorBidi" w:cstheme="majorBidi"/>
                <w:color w:val="000000"/>
              </w:rPr>
            </w:pPr>
            <w:r w:rsidRPr="00C23AEF">
              <w:rPr>
                <w:rFonts w:asciiTheme="majorBidi" w:eastAsia="Calibri" w:hAnsiTheme="majorBidi" w:cstheme="majorBidi"/>
                <w:lang w:val="en-ID"/>
              </w:rPr>
              <w:t xml:space="preserve">1.1.b: Supply-side intervention market testing </w:t>
            </w:r>
            <w:r w:rsidRPr="00C23AEF">
              <w:rPr>
                <w:rFonts w:asciiTheme="majorBidi" w:eastAsia="Calibri" w:hAnsiTheme="majorBidi" w:cstheme="majorBidi"/>
                <w:i/>
                <w:iCs/>
                <w:lang w:val="en-ID"/>
              </w:rPr>
              <w:t>(testing done under TOR #1)</w:t>
            </w:r>
          </w:p>
        </w:tc>
        <w:tc>
          <w:tcPr>
            <w:tcW w:w="271" w:type="pct"/>
            <w:shd w:val="clear" w:color="auto" w:fill="auto"/>
            <w:noWrap/>
            <w:vAlign w:val="center"/>
            <w:hideMark/>
          </w:tcPr>
          <w:p w14:paraId="38DF34B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65F6629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38311C5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FFFFFF"/>
            <w:noWrap/>
            <w:vAlign w:val="center"/>
            <w:hideMark/>
          </w:tcPr>
          <w:p w14:paraId="4F18F525"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FFFFFF"/>
            <w:noWrap/>
            <w:vAlign w:val="center"/>
            <w:hideMark/>
          </w:tcPr>
          <w:p w14:paraId="0B81677C"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7E6BA7C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030FA1A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09B97E54"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2C301D42"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auto"/>
            <w:vAlign w:val="center"/>
          </w:tcPr>
          <w:p w14:paraId="4CDF350C"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7F508F18" w14:textId="77777777" w:rsidTr="00C23AEF">
        <w:trPr>
          <w:trHeight w:val="576"/>
        </w:trPr>
        <w:tc>
          <w:tcPr>
            <w:tcW w:w="327" w:type="pct"/>
            <w:shd w:val="clear" w:color="auto" w:fill="auto"/>
            <w:noWrap/>
            <w:vAlign w:val="center"/>
            <w:hideMark/>
          </w:tcPr>
          <w:p w14:paraId="28460E09"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5</w:t>
            </w:r>
          </w:p>
        </w:tc>
        <w:tc>
          <w:tcPr>
            <w:tcW w:w="1961" w:type="pct"/>
            <w:shd w:val="clear" w:color="auto" w:fill="auto"/>
            <w:noWrap/>
            <w:vAlign w:val="center"/>
          </w:tcPr>
          <w:p w14:paraId="22953A20" w14:textId="77777777" w:rsidR="00C23AEF" w:rsidRPr="00C23AEF" w:rsidRDefault="00C23AEF" w:rsidP="00C23AEF">
            <w:pPr>
              <w:spacing w:after="0" w:line="259" w:lineRule="auto"/>
              <w:rPr>
                <w:rFonts w:asciiTheme="majorBidi" w:eastAsia="Calibri" w:hAnsiTheme="majorBidi" w:cstheme="majorBidi"/>
                <w:lang w:val="en-ID"/>
              </w:rPr>
            </w:pPr>
            <w:r w:rsidRPr="00C23AEF">
              <w:rPr>
                <w:rFonts w:asciiTheme="majorBidi" w:eastAsia="Calibri" w:hAnsiTheme="majorBidi" w:cstheme="majorBidi"/>
                <w:lang w:val="en-ID"/>
              </w:rPr>
              <w:t xml:space="preserve">1.2 and 1.3: Legal/Regulatory and Institutional Arrangement Reviews and Recommendations </w:t>
            </w:r>
          </w:p>
        </w:tc>
        <w:tc>
          <w:tcPr>
            <w:tcW w:w="271" w:type="pct"/>
            <w:shd w:val="clear" w:color="auto" w:fill="auto"/>
            <w:noWrap/>
            <w:vAlign w:val="center"/>
            <w:hideMark/>
          </w:tcPr>
          <w:p w14:paraId="51E3A2B5"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24E5E5BA"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22AAE09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107700C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hideMark/>
          </w:tcPr>
          <w:p w14:paraId="4064EEA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hideMark/>
          </w:tcPr>
          <w:p w14:paraId="7B23CD1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noWrap/>
            <w:vAlign w:val="center"/>
            <w:hideMark/>
          </w:tcPr>
          <w:p w14:paraId="277FB815"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vAlign w:val="center"/>
          </w:tcPr>
          <w:p w14:paraId="69C5D77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vAlign w:val="center"/>
          </w:tcPr>
          <w:p w14:paraId="65E7E843"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FFFFFF"/>
            <w:vAlign w:val="center"/>
          </w:tcPr>
          <w:p w14:paraId="0CC65219"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3A78E572" w14:textId="77777777" w:rsidTr="00C23AEF">
        <w:trPr>
          <w:trHeight w:val="576"/>
        </w:trPr>
        <w:tc>
          <w:tcPr>
            <w:tcW w:w="327" w:type="pct"/>
            <w:shd w:val="clear" w:color="auto" w:fill="auto"/>
            <w:noWrap/>
            <w:vAlign w:val="center"/>
          </w:tcPr>
          <w:p w14:paraId="508E931D"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6</w:t>
            </w:r>
          </w:p>
        </w:tc>
        <w:tc>
          <w:tcPr>
            <w:tcW w:w="1961" w:type="pct"/>
            <w:shd w:val="clear" w:color="auto" w:fill="auto"/>
            <w:noWrap/>
            <w:vAlign w:val="center"/>
          </w:tcPr>
          <w:p w14:paraId="08AEA212" w14:textId="77777777" w:rsidR="00C23AEF" w:rsidRPr="00C23AEF" w:rsidRDefault="00C23AEF" w:rsidP="00C23AEF">
            <w:pPr>
              <w:spacing w:after="0" w:line="259" w:lineRule="auto"/>
              <w:rPr>
                <w:rFonts w:asciiTheme="majorBidi" w:eastAsia="Calibri" w:hAnsiTheme="majorBidi" w:cstheme="majorBidi"/>
                <w:lang w:val="en-ID"/>
              </w:rPr>
            </w:pPr>
            <w:r w:rsidRPr="00C23AEF">
              <w:rPr>
                <w:rFonts w:asciiTheme="majorBidi" w:eastAsia="Calibri" w:hAnsiTheme="majorBidi" w:cstheme="majorBidi"/>
                <w:lang w:val="en-ID"/>
              </w:rPr>
              <w:t xml:space="preserve">1.4: Development Roadmap and Implementation Plan Recommendations </w:t>
            </w:r>
            <w:r w:rsidRPr="00C23AEF">
              <w:rPr>
                <w:rFonts w:asciiTheme="majorBidi" w:eastAsia="Calibri" w:hAnsiTheme="majorBidi" w:cstheme="majorBidi"/>
                <w:i/>
                <w:iCs/>
                <w:lang w:val="en-ID"/>
              </w:rPr>
              <w:t>(to be coordinated with TOR#2)</w:t>
            </w:r>
          </w:p>
        </w:tc>
        <w:tc>
          <w:tcPr>
            <w:tcW w:w="271" w:type="pct"/>
            <w:shd w:val="clear" w:color="auto" w:fill="auto"/>
            <w:noWrap/>
            <w:vAlign w:val="center"/>
          </w:tcPr>
          <w:p w14:paraId="2E8C3A8C"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54AED49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521D91FF"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5376BCE0"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0D38C408"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55C5148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04B1BD5D"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vAlign w:val="center"/>
          </w:tcPr>
          <w:p w14:paraId="31BA5A5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C5E0B3"/>
            <w:vAlign w:val="center"/>
          </w:tcPr>
          <w:p w14:paraId="5528DFB3"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C5E0B3"/>
            <w:vAlign w:val="center"/>
          </w:tcPr>
          <w:p w14:paraId="1C1AA7ED"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288613B6" w14:textId="77777777" w:rsidTr="00C23AEF">
        <w:trPr>
          <w:trHeight w:val="576"/>
        </w:trPr>
        <w:tc>
          <w:tcPr>
            <w:tcW w:w="327" w:type="pct"/>
            <w:shd w:val="clear" w:color="auto" w:fill="auto"/>
            <w:noWrap/>
            <w:vAlign w:val="center"/>
            <w:hideMark/>
          </w:tcPr>
          <w:p w14:paraId="4B0707FA"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7</w:t>
            </w:r>
          </w:p>
        </w:tc>
        <w:tc>
          <w:tcPr>
            <w:tcW w:w="1961" w:type="pct"/>
            <w:shd w:val="clear" w:color="auto" w:fill="auto"/>
            <w:noWrap/>
            <w:vAlign w:val="center"/>
          </w:tcPr>
          <w:p w14:paraId="67C9D92F" w14:textId="77777777" w:rsidR="00C23AEF" w:rsidRPr="00C23AEF" w:rsidRDefault="00C23AEF" w:rsidP="00C23AEF">
            <w:pPr>
              <w:spacing w:after="0"/>
              <w:rPr>
                <w:rFonts w:asciiTheme="majorBidi" w:eastAsia="Times New Roman" w:hAnsiTheme="majorBidi" w:cstheme="majorBidi"/>
                <w:color w:val="000000"/>
              </w:rPr>
            </w:pPr>
            <w:r w:rsidRPr="00C23AEF">
              <w:rPr>
                <w:rFonts w:asciiTheme="majorBidi" w:eastAsia="Calibri" w:hAnsiTheme="majorBidi" w:cstheme="majorBidi"/>
                <w:b/>
                <w:bCs/>
                <w:lang w:val="en-ID"/>
              </w:rPr>
              <w:t>Activity 2: Capacity Building</w:t>
            </w:r>
            <w:r w:rsidRPr="00C23AEF">
              <w:rPr>
                <w:rFonts w:asciiTheme="majorBidi" w:eastAsia="Calibri" w:hAnsiTheme="majorBidi" w:cstheme="majorBidi"/>
                <w:i/>
                <w:iCs/>
                <w:lang w:val="en-ID"/>
              </w:rPr>
              <w:t xml:space="preserve"> (to be coordinated with TOR#2)</w:t>
            </w:r>
          </w:p>
        </w:tc>
        <w:tc>
          <w:tcPr>
            <w:tcW w:w="271" w:type="pct"/>
            <w:shd w:val="clear" w:color="auto" w:fill="auto"/>
            <w:noWrap/>
            <w:vAlign w:val="center"/>
            <w:hideMark/>
          </w:tcPr>
          <w:p w14:paraId="459DD85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5381232C"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1C2F373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5A65DF7E"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113BCC8D"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3E2306A7"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60C30ECE"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361BE262"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66C89281"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70AD47"/>
            <w:vAlign w:val="center"/>
          </w:tcPr>
          <w:p w14:paraId="37A954F3"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3D27FE7E" w14:textId="77777777" w:rsidTr="00C23AEF">
        <w:trPr>
          <w:trHeight w:val="576"/>
        </w:trPr>
        <w:tc>
          <w:tcPr>
            <w:tcW w:w="327" w:type="pct"/>
            <w:shd w:val="clear" w:color="auto" w:fill="auto"/>
            <w:noWrap/>
            <w:vAlign w:val="center"/>
            <w:hideMark/>
          </w:tcPr>
          <w:p w14:paraId="3AAEEF81"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8</w:t>
            </w:r>
          </w:p>
        </w:tc>
        <w:tc>
          <w:tcPr>
            <w:tcW w:w="1961" w:type="pct"/>
            <w:shd w:val="clear" w:color="auto" w:fill="auto"/>
            <w:noWrap/>
            <w:vAlign w:val="center"/>
          </w:tcPr>
          <w:p w14:paraId="6426FF27" w14:textId="77777777" w:rsidR="00C23AEF" w:rsidRPr="00C23AEF" w:rsidRDefault="00C23AEF" w:rsidP="00C23AEF">
            <w:pPr>
              <w:spacing w:after="0"/>
              <w:rPr>
                <w:rFonts w:asciiTheme="majorBidi" w:eastAsia="Times New Roman" w:hAnsiTheme="majorBidi" w:cstheme="majorBidi"/>
                <w:b/>
                <w:bCs/>
                <w:color w:val="000000"/>
              </w:rPr>
            </w:pPr>
            <w:r w:rsidRPr="00C23AEF">
              <w:rPr>
                <w:rFonts w:asciiTheme="majorBidi" w:eastAsia="Calibri" w:hAnsiTheme="majorBidi" w:cstheme="majorBidi"/>
                <w:b/>
                <w:bCs/>
                <w:lang w:val="en-ID"/>
              </w:rPr>
              <w:t>Activity 3: Strata Titling Assessment &amp; Reform Recommendation</w:t>
            </w:r>
          </w:p>
        </w:tc>
        <w:tc>
          <w:tcPr>
            <w:tcW w:w="271" w:type="pct"/>
            <w:shd w:val="clear" w:color="auto" w:fill="auto"/>
            <w:noWrap/>
            <w:vAlign w:val="center"/>
            <w:hideMark/>
          </w:tcPr>
          <w:p w14:paraId="47176C76"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68A8B6EB"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2B7E3D39"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hideMark/>
          </w:tcPr>
          <w:p w14:paraId="24FF841B"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797BD5D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1EC6ED9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noWrap/>
            <w:vAlign w:val="center"/>
            <w:hideMark/>
          </w:tcPr>
          <w:p w14:paraId="5094E5DC"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7B43115E"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70AD47"/>
            <w:vAlign w:val="center"/>
          </w:tcPr>
          <w:p w14:paraId="56FE4B4B"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70AD47"/>
            <w:vAlign w:val="center"/>
          </w:tcPr>
          <w:p w14:paraId="749B57BB" w14:textId="77777777" w:rsidR="00C23AEF" w:rsidRPr="00C23AEF" w:rsidRDefault="00C23AEF" w:rsidP="000C6432">
            <w:pPr>
              <w:jc w:val="center"/>
              <w:rPr>
                <w:rFonts w:asciiTheme="majorBidi" w:eastAsia="Times New Roman" w:hAnsiTheme="majorBidi" w:cstheme="majorBidi"/>
                <w:color w:val="000000"/>
              </w:rPr>
            </w:pPr>
          </w:p>
        </w:tc>
      </w:tr>
      <w:tr w:rsidR="00C23AEF" w:rsidRPr="006268ED" w14:paraId="52C82324" w14:textId="77777777" w:rsidTr="00C23AEF">
        <w:trPr>
          <w:trHeight w:val="576"/>
        </w:trPr>
        <w:tc>
          <w:tcPr>
            <w:tcW w:w="327" w:type="pct"/>
            <w:shd w:val="clear" w:color="auto" w:fill="auto"/>
            <w:noWrap/>
            <w:vAlign w:val="center"/>
          </w:tcPr>
          <w:p w14:paraId="425AF2C7" w14:textId="77777777" w:rsidR="00C23AEF" w:rsidRPr="00C23AEF" w:rsidRDefault="00C23AEF" w:rsidP="000C6432">
            <w:pPr>
              <w:jc w:val="center"/>
              <w:rPr>
                <w:rFonts w:asciiTheme="majorBidi" w:eastAsia="Times New Roman" w:hAnsiTheme="majorBidi" w:cstheme="majorBidi"/>
                <w:color w:val="000000"/>
              </w:rPr>
            </w:pPr>
            <w:r w:rsidRPr="00C23AEF">
              <w:rPr>
                <w:rFonts w:asciiTheme="majorBidi" w:eastAsia="Times New Roman" w:hAnsiTheme="majorBidi" w:cstheme="majorBidi"/>
                <w:color w:val="000000"/>
              </w:rPr>
              <w:t>9</w:t>
            </w:r>
          </w:p>
        </w:tc>
        <w:tc>
          <w:tcPr>
            <w:tcW w:w="1961" w:type="pct"/>
            <w:shd w:val="clear" w:color="auto" w:fill="auto"/>
            <w:noWrap/>
            <w:vAlign w:val="center"/>
          </w:tcPr>
          <w:p w14:paraId="36208F50" w14:textId="77777777" w:rsidR="00C23AEF" w:rsidRPr="00C23AEF" w:rsidRDefault="00C23AEF" w:rsidP="00C23AEF">
            <w:pPr>
              <w:spacing w:after="0"/>
              <w:rPr>
                <w:rFonts w:asciiTheme="majorBidi" w:eastAsia="Times New Roman" w:hAnsiTheme="majorBidi" w:cstheme="majorBidi"/>
                <w:color w:val="000000"/>
              </w:rPr>
            </w:pPr>
            <w:r w:rsidRPr="00C23AEF">
              <w:rPr>
                <w:rFonts w:asciiTheme="majorBidi" w:eastAsia="Calibri" w:hAnsiTheme="majorBidi" w:cstheme="majorBidi"/>
                <w:lang w:val="en-ID"/>
              </w:rPr>
              <w:t>Final Report Dissemination</w:t>
            </w:r>
          </w:p>
        </w:tc>
        <w:tc>
          <w:tcPr>
            <w:tcW w:w="271" w:type="pct"/>
            <w:shd w:val="clear" w:color="auto" w:fill="auto"/>
            <w:noWrap/>
            <w:vAlign w:val="center"/>
          </w:tcPr>
          <w:p w14:paraId="1A26D3CB"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5E97E384"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040037D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1769FFE1"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588A21FE"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46470383"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noWrap/>
            <w:vAlign w:val="center"/>
          </w:tcPr>
          <w:p w14:paraId="2D5E8432"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1E023035" w14:textId="77777777" w:rsidR="00C23AEF" w:rsidRPr="00C23AEF" w:rsidRDefault="00C23AEF" w:rsidP="000C6432">
            <w:pPr>
              <w:jc w:val="center"/>
              <w:rPr>
                <w:rFonts w:asciiTheme="majorBidi" w:eastAsia="Times New Roman" w:hAnsiTheme="majorBidi" w:cstheme="majorBidi"/>
                <w:color w:val="000000"/>
              </w:rPr>
            </w:pPr>
          </w:p>
        </w:tc>
        <w:tc>
          <w:tcPr>
            <w:tcW w:w="271" w:type="pct"/>
            <w:shd w:val="clear" w:color="auto" w:fill="auto"/>
            <w:vAlign w:val="center"/>
          </w:tcPr>
          <w:p w14:paraId="55002404" w14:textId="77777777" w:rsidR="00C23AEF" w:rsidRPr="00C23AEF" w:rsidRDefault="00C23AEF" w:rsidP="000C6432">
            <w:pPr>
              <w:jc w:val="center"/>
              <w:rPr>
                <w:rFonts w:asciiTheme="majorBidi" w:eastAsia="Times New Roman" w:hAnsiTheme="majorBidi" w:cstheme="majorBidi"/>
                <w:color w:val="000000"/>
              </w:rPr>
            </w:pPr>
          </w:p>
        </w:tc>
        <w:tc>
          <w:tcPr>
            <w:tcW w:w="273" w:type="pct"/>
            <w:shd w:val="clear" w:color="auto" w:fill="E36C0A" w:themeFill="accent6" w:themeFillShade="BF"/>
            <w:vAlign w:val="center"/>
          </w:tcPr>
          <w:p w14:paraId="0172813A" w14:textId="77777777" w:rsidR="00C23AEF" w:rsidRPr="00C23AEF" w:rsidRDefault="00C23AEF" w:rsidP="000C6432">
            <w:pPr>
              <w:jc w:val="center"/>
              <w:rPr>
                <w:rFonts w:asciiTheme="majorBidi" w:eastAsia="Times New Roman" w:hAnsiTheme="majorBidi" w:cstheme="majorBidi"/>
                <w:color w:val="000000"/>
              </w:rPr>
            </w:pPr>
          </w:p>
        </w:tc>
      </w:tr>
    </w:tbl>
    <w:p w14:paraId="62F90730" w14:textId="77777777" w:rsidR="00C23AEF" w:rsidRDefault="00C23AEF" w:rsidP="00C23AEF"/>
    <w:p w14:paraId="34960940" w14:textId="77777777" w:rsidR="00C23AEF" w:rsidRDefault="00C23AEF" w:rsidP="00C23AEF"/>
    <w:sectPr w:rsidR="00C23AEF" w:rsidSect="00C23AEF">
      <w:headerReference w:type="default" r:id="rId8"/>
      <w:footerReference w:type="default" r:id="rId9"/>
      <w:headerReference w:type="first" r:id="rId10"/>
      <w:footerReference w:type="first" r:id="rId11"/>
      <w:pgSz w:w="11907" w:h="16840" w:code="9"/>
      <w:pgMar w:top="1710" w:right="1418" w:bottom="1423" w:left="1418" w:header="432"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5ADA" w14:textId="77777777" w:rsidR="00B0799D" w:rsidRDefault="00B0799D" w:rsidP="002A5DEF">
      <w:pPr>
        <w:spacing w:after="0" w:line="240" w:lineRule="auto"/>
      </w:pPr>
      <w:r>
        <w:separator/>
      </w:r>
    </w:p>
  </w:endnote>
  <w:endnote w:type="continuationSeparator" w:id="0">
    <w:p w14:paraId="506D62FC" w14:textId="77777777" w:rsidR="00B0799D" w:rsidRDefault="00B0799D" w:rsidP="002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aruma" w:hAnsi="Faruma" w:cs="Faruma"/>
        <w:sz w:val="14"/>
        <w:szCs w:val="14"/>
      </w:rPr>
      <w:id w:val="1359849769"/>
      <w:docPartObj>
        <w:docPartGallery w:val="Page Numbers (Bottom of Page)"/>
        <w:docPartUnique/>
      </w:docPartObj>
    </w:sdtPr>
    <w:sdtEndPr>
      <w:rPr>
        <w:sz w:val="2"/>
        <w:szCs w:val="2"/>
      </w:rPr>
    </w:sdtEndPr>
    <w:sdtContent>
      <w:sdt>
        <w:sdtPr>
          <w:rPr>
            <w:rFonts w:ascii="Faruma" w:hAnsi="Faruma" w:cs="Faruma"/>
            <w:sz w:val="14"/>
            <w:szCs w:val="14"/>
          </w:rPr>
          <w:id w:val="-538518690"/>
          <w:docPartObj>
            <w:docPartGallery w:val="Page Numbers (Top of Page)"/>
            <w:docPartUnique/>
          </w:docPartObj>
        </w:sdtPr>
        <w:sdtEndPr>
          <w:rPr>
            <w:sz w:val="2"/>
            <w:szCs w:val="2"/>
          </w:rPr>
        </w:sdtEndPr>
        <w:sdtContent>
          <w:p w14:paraId="07862E7D" w14:textId="77777777" w:rsidR="001D2CBB" w:rsidRPr="00FF68C3" w:rsidRDefault="001D2CBB" w:rsidP="001D2CBB">
            <w:pPr>
              <w:pStyle w:val="Footer"/>
              <w:tabs>
                <w:tab w:val="clear" w:pos="4680"/>
                <w:tab w:val="clear" w:pos="9360"/>
                <w:tab w:val="right" w:pos="9072"/>
              </w:tabs>
              <w:rPr>
                <w:rFonts w:ascii="Faruma" w:hAnsi="Faruma" w:cs="Faruma"/>
                <w:noProof/>
                <w:color w:val="595959" w:themeColor="text1" w:themeTint="A6"/>
                <w:sz w:val="12"/>
                <w:szCs w:val="12"/>
              </w:rPr>
            </w:pPr>
          </w:p>
          <w:p w14:paraId="7B7BE343" w14:textId="77777777" w:rsidR="00894834" w:rsidRPr="00D97DBD" w:rsidRDefault="00000000" w:rsidP="00894834">
            <w:pPr>
              <w:pStyle w:val="Header"/>
              <w:tabs>
                <w:tab w:val="clear" w:pos="4680"/>
                <w:tab w:val="clear" w:pos="9360"/>
                <w:tab w:val="right" w:pos="9072"/>
              </w:tabs>
              <w:jc w:val="center"/>
              <w:rPr>
                <w:color w:val="595959" w:themeColor="text1" w:themeTint="A6"/>
              </w:rPr>
            </w:pPr>
            <w:sdt>
              <w:sdtPr>
                <w:rPr>
                  <w:rFonts w:ascii="Faruma" w:hAnsi="Faruma" w:cs="Faruma"/>
                  <w:sz w:val="16"/>
                  <w:szCs w:val="16"/>
                </w:rPr>
                <w:id w:val="2063055628"/>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277688275"/>
                    <w:docPartObj>
                      <w:docPartGallery w:val="Page Numbers (Top of Page)"/>
                      <w:docPartUnique/>
                    </w:docPartObj>
                  </w:sdtPr>
                  <w:sdtEndPr>
                    <w:rPr>
                      <w:rFonts w:asciiTheme="majorBidi" w:hAnsiTheme="majorBidi" w:cstheme="majorBidi"/>
                      <w:i/>
                      <w:iCs/>
                      <w:color w:val="595959" w:themeColor="text1" w:themeTint="A6"/>
                    </w:rPr>
                  </w:sdtEndPr>
                  <w:sdtContent>
                    <w:r w:rsidR="00894834">
                      <w:t xml:space="preserve">                                                                                                                                                                     </w:t>
                    </w:r>
                    <w:r w:rsidR="00894834" w:rsidRPr="00D97DBD">
                      <w:rPr>
                        <w:rFonts w:asciiTheme="majorBidi" w:hAnsiTheme="majorBidi" w:cstheme="majorBidi"/>
                        <w:i/>
                        <w:iCs/>
                        <w:color w:val="595959" w:themeColor="text1" w:themeTint="A6"/>
                        <w:sz w:val="16"/>
                        <w:szCs w:val="16"/>
                      </w:rPr>
                      <w:t xml:space="preserve">Page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PAGE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r w:rsidR="00894834" w:rsidRPr="00D97DBD">
                      <w:rPr>
                        <w:rFonts w:asciiTheme="majorBidi" w:hAnsiTheme="majorBidi" w:cstheme="majorBidi"/>
                        <w:i/>
                        <w:iCs/>
                        <w:color w:val="595959" w:themeColor="text1" w:themeTint="A6"/>
                        <w:sz w:val="16"/>
                        <w:szCs w:val="16"/>
                      </w:rPr>
                      <w:t xml:space="preserve"> of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NUMPAGES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sdtContent>
                </w:sdt>
              </w:sdtContent>
            </w:sdt>
          </w:p>
          <w:p w14:paraId="6C6B910C" w14:textId="5ACA8E47" w:rsidR="001D2CBB" w:rsidRPr="009F0C26" w:rsidRDefault="00894834" w:rsidP="00894834">
            <w:pPr>
              <w:pStyle w:val="Footer"/>
              <w:tabs>
                <w:tab w:val="clear" w:pos="4680"/>
                <w:tab w:val="clear" w:pos="9360"/>
                <w:tab w:val="right" w:pos="9071"/>
              </w:tabs>
              <w:spacing w:line="276" w:lineRule="auto"/>
              <w:rPr>
                <w:rFonts w:ascii="Faruma" w:hAnsi="Faruma" w:cs="Faruma"/>
                <w:color w:val="595959" w:themeColor="text1" w:themeTint="A6"/>
                <w:sz w:val="8"/>
                <w:szCs w:val="8"/>
              </w:rPr>
            </w:pPr>
            <w:r w:rsidRPr="00FF68C3">
              <w:rPr>
                <w:noProof/>
                <w:sz w:val="8"/>
                <w:szCs w:val="8"/>
              </w:rPr>
              <w:t xml:space="preserve"> </w:t>
            </w:r>
            <w:r w:rsidR="001D2CBB" w:rsidRPr="00FF68C3">
              <w:rPr>
                <w:noProof/>
                <w:sz w:val="8"/>
                <w:szCs w:val="8"/>
              </w:rPr>
              <mc:AlternateContent>
                <mc:Choice Requires="wps">
                  <w:drawing>
                    <wp:anchor distT="0" distB="0" distL="114300" distR="114300" simplePos="0" relativeHeight="251676160" behindDoc="0" locked="0" layoutInCell="1" allowOverlap="1" wp14:anchorId="4B61D68D" wp14:editId="0370CCC6">
                      <wp:simplePos x="0" y="0"/>
                      <wp:positionH relativeFrom="column">
                        <wp:posOffset>-7620</wp:posOffset>
                      </wp:positionH>
                      <wp:positionV relativeFrom="paragraph">
                        <wp:posOffset>55197</wp:posOffset>
                      </wp:positionV>
                      <wp:extent cx="5674360" cy="0"/>
                      <wp:effectExtent l="0" t="0" r="15240" b="12700"/>
                      <wp:wrapNone/>
                      <wp:docPr id="8" name="Straight Connector 2"/>
                      <wp:cNvGraphicFramePr/>
                      <a:graphic xmlns:a="http://schemas.openxmlformats.org/drawingml/2006/main">
                        <a:graphicData uri="http://schemas.microsoft.com/office/word/2010/wordprocessingShape">
                          <wps:wsp>
                            <wps:cNvCnPr/>
                            <wps:spPr>
                              <a:xfrm flipV="1">
                                <a:off x="0" y="0"/>
                                <a:ext cx="567436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05486" id="Straight Connector 2"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35pt" to="44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" strokecolor="#5a5a5a [2109]" strokeweight=".5pt"/>
                  </w:pict>
                </mc:Fallback>
              </mc:AlternateContent>
            </w:r>
          </w:p>
          <w:p w14:paraId="75A858E4" w14:textId="77777777" w:rsidR="001D2CBB" w:rsidRPr="00FF68C3" w:rsidRDefault="001D2CBB" w:rsidP="001D2CBB">
            <w:pPr>
              <w:pStyle w:val="Footer"/>
              <w:tabs>
                <w:tab w:val="clear" w:pos="4680"/>
                <w:tab w:val="clear" w:pos="9360"/>
                <w:tab w:val="right" w:pos="9071"/>
              </w:tabs>
              <w:jc w:val="center"/>
              <w:rPr>
                <w:rFonts w:ascii="Faruma" w:hAnsi="Faruma" w:cs="Faruma"/>
                <w:color w:val="404040" w:themeColor="text1" w:themeTint="BF"/>
                <w:sz w:val="16"/>
                <w:szCs w:val="16"/>
                <w:rtl/>
                <w:lang w:bidi="dv-MV"/>
              </w:rPr>
            </w:pPr>
            <w:r w:rsidRPr="00FF68C3">
              <w:rPr>
                <w:rFonts w:ascii="Faruma" w:hAnsi="Faruma" w:cs="Faruma"/>
                <w:noProof/>
                <w:color w:val="404040" w:themeColor="text1" w:themeTint="BF"/>
                <w:sz w:val="16"/>
                <w:szCs w:val="16"/>
              </w:rPr>
              <w:drawing>
                <wp:anchor distT="0" distB="0" distL="114300" distR="114300" simplePos="0" relativeHeight="251678208" behindDoc="0" locked="0" layoutInCell="1" allowOverlap="1" wp14:anchorId="196C6A79" wp14:editId="6F3D73AE">
                  <wp:simplePos x="0" y="0"/>
                  <wp:positionH relativeFrom="column">
                    <wp:posOffset>1970405</wp:posOffset>
                  </wp:positionH>
                  <wp:positionV relativeFrom="paragraph">
                    <wp:posOffset>104267</wp:posOffset>
                  </wp:positionV>
                  <wp:extent cx="222250" cy="220345"/>
                  <wp:effectExtent l="0" t="0" r="0" b="0"/>
                  <wp:wrapNone/>
                  <wp:docPr id="1514576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3914" name="Picture 1004553914"/>
                          <pic:cNvPicPr/>
                        </pic:nvPicPr>
                        <pic:blipFill>
                          <a:blip r:embed="rId1">
                            <a:extLst>
                              <a:ext uri="{28A0092B-C50C-407E-A947-70E740481C1C}">
                                <a14:useLocalDpi xmlns:a14="http://schemas.microsoft.com/office/drawing/2010/main" val="0"/>
                              </a:ext>
                            </a:extLst>
                          </a:blip>
                          <a:stretch>
                            <a:fillRect/>
                          </a:stretch>
                        </pic:blipFill>
                        <pic:spPr>
                          <a:xfrm>
                            <a:off x="0" y="0"/>
                            <a:ext cx="222250" cy="22034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77184" behindDoc="0" locked="0" layoutInCell="1" allowOverlap="1" wp14:anchorId="238BBE3E" wp14:editId="430E16E2">
                  <wp:simplePos x="0" y="0"/>
                  <wp:positionH relativeFrom="column">
                    <wp:posOffset>943610</wp:posOffset>
                  </wp:positionH>
                  <wp:positionV relativeFrom="paragraph">
                    <wp:posOffset>99060</wp:posOffset>
                  </wp:positionV>
                  <wp:extent cx="232410" cy="230505"/>
                  <wp:effectExtent l="0" t="0" r="0" b="0"/>
                  <wp:wrapNone/>
                  <wp:docPr id="2975167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574" name="Picture 191235574"/>
                          <pic:cNvPicPr/>
                        </pic:nvPicPr>
                        <pic:blipFill>
                          <a:blip r:embed="rId2">
                            <a:extLst>
                              <a:ext uri="{28A0092B-C50C-407E-A947-70E740481C1C}">
                                <a14:useLocalDpi xmlns:a14="http://schemas.microsoft.com/office/drawing/2010/main" val="0"/>
                              </a:ext>
                            </a:extLst>
                          </a:blip>
                          <a:stretch>
                            <a:fillRect/>
                          </a:stretch>
                        </pic:blipFill>
                        <pic:spPr>
                          <a:xfrm>
                            <a:off x="0" y="0"/>
                            <a:ext cx="232410" cy="23050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79232" behindDoc="0" locked="0" layoutInCell="1" allowOverlap="1" wp14:anchorId="0E90A516" wp14:editId="5E19ED52">
                  <wp:simplePos x="0" y="0"/>
                  <wp:positionH relativeFrom="column">
                    <wp:posOffset>3406140</wp:posOffset>
                  </wp:positionH>
                  <wp:positionV relativeFrom="paragraph">
                    <wp:posOffset>104775</wp:posOffset>
                  </wp:positionV>
                  <wp:extent cx="226695" cy="224790"/>
                  <wp:effectExtent l="0" t="0" r="0" b="0"/>
                  <wp:wrapNone/>
                  <wp:docPr id="607375217" name="Picture 60737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69116" name="Picture 1312269116"/>
                          <pic:cNvPicPr/>
                        </pic:nvPicPr>
                        <pic:blipFill>
                          <a:blip r:embed="rId3">
                            <a:extLst>
                              <a:ext uri="{28A0092B-C50C-407E-A947-70E740481C1C}">
                                <a14:useLocalDpi xmlns:a14="http://schemas.microsoft.com/office/drawing/2010/main" val="0"/>
                              </a:ext>
                            </a:extLst>
                          </a:blip>
                          <a:stretch>
                            <a:fillRect/>
                          </a:stretch>
                        </pic:blipFill>
                        <pic:spPr>
                          <a:xfrm>
                            <a:off x="0" y="0"/>
                            <a:ext cx="226695" cy="2247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F68C3">
              <w:rPr>
                <w:rFonts w:ascii="Faruma" w:hAnsi="Faruma" w:cs="Faruma"/>
                <w:color w:val="404040" w:themeColor="text1" w:themeTint="BF"/>
                <w:sz w:val="16"/>
                <w:szCs w:val="16"/>
              </w:rPr>
              <w:t>Dharubaaruge</w:t>
            </w:r>
            <w:proofErr w:type="spellEnd"/>
            <w:r w:rsidRPr="00FF68C3">
              <w:rPr>
                <w:rFonts w:ascii="Faruma" w:hAnsi="Faruma" w:cs="Faruma"/>
                <w:color w:val="404040" w:themeColor="text1" w:themeTint="BF"/>
                <w:sz w:val="16"/>
                <w:szCs w:val="16"/>
              </w:rPr>
              <w:t xml:space="preserve">, </w:t>
            </w:r>
            <w:proofErr w:type="spellStart"/>
            <w:r w:rsidRPr="00FF68C3">
              <w:rPr>
                <w:rFonts w:ascii="Faruma" w:hAnsi="Faruma" w:cs="Faruma"/>
                <w:color w:val="404040" w:themeColor="text1" w:themeTint="BF"/>
                <w:sz w:val="16"/>
                <w:szCs w:val="16"/>
              </w:rPr>
              <w:t>Ameenee</w:t>
            </w:r>
            <w:proofErr w:type="spellEnd"/>
            <w:r w:rsidRPr="00FF68C3">
              <w:rPr>
                <w:rFonts w:ascii="Faruma" w:hAnsi="Faruma" w:cs="Faruma"/>
                <w:color w:val="404040" w:themeColor="text1" w:themeTint="BF"/>
                <w:sz w:val="16"/>
                <w:szCs w:val="16"/>
              </w:rPr>
              <w:t xml:space="preserve"> Magu, Male’, 20344, Republic of Maldives</w:t>
            </w:r>
          </w:p>
          <w:p w14:paraId="7C8894AD" w14:textId="38EF856E" w:rsidR="007B1F90" w:rsidRPr="001D2CBB" w:rsidRDefault="001D2CBB" w:rsidP="001D2CBB">
            <w:pPr>
              <w:pStyle w:val="Footer"/>
              <w:tabs>
                <w:tab w:val="clear" w:pos="4680"/>
                <w:tab w:val="clear" w:pos="9360"/>
                <w:tab w:val="right" w:pos="9072"/>
              </w:tabs>
              <w:jc w:val="center"/>
              <w:rPr>
                <w:rFonts w:ascii="Faruma" w:hAnsi="Faruma" w:cs="Faruma"/>
                <w:noProof/>
                <w:color w:val="595959" w:themeColor="text1" w:themeTint="A6"/>
                <w:sz w:val="12"/>
                <w:szCs w:val="12"/>
              </w:rPr>
            </w:pPr>
            <w:r w:rsidRPr="00FF68C3">
              <w:rPr>
                <w:rFonts w:ascii="Faruma" w:hAnsi="Faruma" w:cs="Faruma"/>
                <w:color w:val="404040" w:themeColor="text1" w:themeTint="BF"/>
                <w:sz w:val="16"/>
                <w:szCs w:val="16"/>
              </w:rPr>
              <w:t xml:space="preserve">   (+960) 4004-900      </w:t>
            </w:r>
            <w:hyperlink r:id="rId4" w:history="1">
              <w:r w:rsidRPr="00FF68C3">
                <w:rPr>
                  <w:rStyle w:val="Hyperlink"/>
                  <w:rFonts w:ascii="Faruma" w:hAnsi="Faruma" w:cs="Faruma"/>
                  <w:color w:val="404040" w:themeColor="text1" w:themeTint="BF"/>
                  <w:sz w:val="16"/>
                  <w:szCs w:val="16"/>
                  <w:u w:val="none"/>
                </w:rPr>
                <w:t>info@infrastructure.gov.mv</w:t>
              </w:r>
            </w:hyperlink>
            <w:r w:rsidRPr="00FF68C3">
              <w:rPr>
                <w:rFonts w:ascii="Faruma" w:hAnsi="Faruma" w:cs="Faruma"/>
                <w:color w:val="404040" w:themeColor="text1" w:themeTint="BF"/>
                <w:sz w:val="16"/>
                <w:szCs w:val="16"/>
              </w:rPr>
              <w:t xml:space="preserve">      www.infrastructure.gov.mv</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aruma" w:hAnsi="Faruma" w:cs="Faruma"/>
        <w:sz w:val="14"/>
        <w:szCs w:val="14"/>
      </w:rPr>
      <w:id w:val="914824169"/>
      <w:docPartObj>
        <w:docPartGallery w:val="Page Numbers (Bottom of Page)"/>
        <w:docPartUnique/>
      </w:docPartObj>
    </w:sdtPr>
    <w:sdtEndPr>
      <w:rPr>
        <w:sz w:val="2"/>
        <w:szCs w:val="2"/>
      </w:rPr>
    </w:sdtEndPr>
    <w:sdtContent>
      <w:sdt>
        <w:sdtPr>
          <w:rPr>
            <w:rFonts w:ascii="Faruma" w:hAnsi="Faruma" w:cs="Faruma"/>
            <w:sz w:val="14"/>
            <w:szCs w:val="14"/>
          </w:rPr>
          <w:id w:val="56449844"/>
          <w:docPartObj>
            <w:docPartGallery w:val="Page Numbers (Top of Page)"/>
            <w:docPartUnique/>
          </w:docPartObj>
        </w:sdtPr>
        <w:sdtEndPr>
          <w:rPr>
            <w:sz w:val="2"/>
            <w:szCs w:val="2"/>
          </w:rPr>
        </w:sdtEndPr>
        <w:sdtContent>
          <w:p w14:paraId="5536E57F" w14:textId="4B7FFFE4" w:rsidR="00094F99" w:rsidRPr="00FF68C3" w:rsidRDefault="00094F99" w:rsidP="00094F99">
            <w:pPr>
              <w:pStyle w:val="Footer"/>
              <w:tabs>
                <w:tab w:val="clear" w:pos="4680"/>
                <w:tab w:val="clear" w:pos="9360"/>
                <w:tab w:val="right" w:pos="9072"/>
              </w:tabs>
              <w:rPr>
                <w:rFonts w:ascii="Faruma" w:hAnsi="Faruma" w:cs="Faruma"/>
                <w:noProof/>
                <w:color w:val="595959" w:themeColor="text1" w:themeTint="A6"/>
                <w:sz w:val="12"/>
                <w:szCs w:val="12"/>
              </w:rPr>
            </w:pPr>
          </w:p>
          <w:p w14:paraId="23FB4307" w14:textId="77777777" w:rsidR="00894834" w:rsidRPr="00D97DBD" w:rsidRDefault="00000000" w:rsidP="00894834">
            <w:pPr>
              <w:pStyle w:val="Header"/>
              <w:tabs>
                <w:tab w:val="clear" w:pos="4680"/>
                <w:tab w:val="clear" w:pos="9360"/>
                <w:tab w:val="right" w:pos="9072"/>
              </w:tabs>
              <w:jc w:val="center"/>
              <w:rPr>
                <w:color w:val="595959" w:themeColor="text1" w:themeTint="A6"/>
              </w:rPr>
            </w:pPr>
            <w:sdt>
              <w:sdtPr>
                <w:rPr>
                  <w:rFonts w:ascii="Faruma" w:hAnsi="Faruma" w:cs="Faruma"/>
                  <w:sz w:val="16"/>
                  <w:szCs w:val="16"/>
                </w:rPr>
                <w:id w:val="-17322892"/>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819087967"/>
                    <w:docPartObj>
                      <w:docPartGallery w:val="Page Numbers (Top of Page)"/>
                      <w:docPartUnique/>
                    </w:docPartObj>
                  </w:sdtPr>
                  <w:sdtEndPr>
                    <w:rPr>
                      <w:rFonts w:asciiTheme="majorBidi" w:hAnsiTheme="majorBidi" w:cstheme="majorBidi"/>
                      <w:i/>
                      <w:iCs/>
                      <w:color w:val="595959" w:themeColor="text1" w:themeTint="A6"/>
                    </w:rPr>
                  </w:sdtEndPr>
                  <w:sdtContent>
                    <w:r w:rsidR="00894834">
                      <w:t xml:space="preserve">                                                                                                                                                                     </w:t>
                    </w:r>
                    <w:r w:rsidR="00894834" w:rsidRPr="00D97DBD">
                      <w:rPr>
                        <w:rFonts w:asciiTheme="majorBidi" w:hAnsiTheme="majorBidi" w:cstheme="majorBidi"/>
                        <w:i/>
                        <w:iCs/>
                        <w:color w:val="595959" w:themeColor="text1" w:themeTint="A6"/>
                        <w:sz w:val="16"/>
                        <w:szCs w:val="16"/>
                      </w:rPr>
                      <w:t xml:space="preserve">Page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PAGE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r w:rsidR="00894834" w:rsidRPr="00D97DBD">
                      <w:rPr>
                        <w:rFonts w:asciiTheme="majorBidi" w:hAnsiTheme="majorBidi" w:cstheme="majorBidi"/>
                        <w:i/>
                        <w:iCs/>
                        <w:color w:val="595959" w:themeColor="text1" w:themeTint="A6"/>
                        <w:sz w:val="16"/>
                        <w:szCs w:val="16"/>
                      </w:rPr>
                      <w:t xml:space="preserve"> of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NUMPAGES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sdtContent>
                </w:sdt>
              </w:sdtContent>
            </w:sdt>
          </w:p>
          <w:p w14:paraId="22610E66" w14:textId="79472DA5" w:rsidR="00B014FA" w:rsidRPr="009F0C26" w:rsidRDefault="00894834" w:rsidP="00894834">
            <w:pPr>
              <w:pStyle w:val="Footer"/>
              <w:tabs>
                <w:tab w:val="clear" w:pos="4680"/>
                <w:tab w:val="clear" w:pos="9360"/>
                <w:tab w:val="right" w:pos="9071"/>
              </w:tabs>
              <w:spacing w:line="276" w:lineRule="auto"/>
              <w:rPr>
                <w:rFonts w:ascii="Faruma" w:hAnsi="Faruma" w:cs="Faruma"/>
                <w:color w:val="595959" w:themeColor="text1" w:themeTint="A6"/>
                <w:sz w:val="8"/>
                <w:szCs w:val="8"/>
              </w:rPr>
            </w:pPr>
            <w:r w:rsidRPr="00FF68C3">
              <w:rPr>
                <w:noProof/>
                <w:sz w:val="8"/>
                <w:szCs w:val="8"/>
              </w:rPr>
              <w:t xml:space="preserve"> </w:t>
            </w:r>
            <w:r w:rsidR="002315CD" w:rsidRPr="00FF68C3">
              <w:rPr>
                <w:noProof/>
                <w:sz w:val="8"/>
                <w:szCs w:val="8"/>
              </w:rPr>
              <mc:AlternateContent>
                <mc:Choice Requires="wps">
                  <w:drawing>
                    <wp:anchor distT="0" distB="0" distL="114300" distR="114300" simplePos="0" relativeHeight="251641344" behindDoc="0" locked="0" layoutInCell="1" allowOverlap="1" wp14:anchorId="3637555B" wp14:editId="47203EDF">
                      <wp:simplePos x="0" y="0"/>
                      <wp:positionH relativeFrom="column">
                        <wp:posOffset>-7620</wp:posOffset>
                      </wp:positionH>
                      <wp:positionV relativeFrom="paragraph">
                        <wp:posOffset>55197</wp:posOffset>
                      </wp:positionV>
                      <wp:extent cx="5674360" cy="0"/>
                      <wp:effectExtent l="0" t="0" r="15240" b="12700"/>
                      <wp:wrapNone/>
                      <wp:docPr id="1238833400" name="Straight Connector 2"/>
                      <wp:cNvGraphicFramePr/>
                      <a:graphic xmlns:a="http://schemas.openxmlformats.org/drawingml/2006/main">
                        <a:graphicData uri="http://schemas.microsoft.com/office/word/2010/wordprocessingShape">
                          <wps:wsp>
                            <wps:cNvCnPr/>
                            <wps:spPr>
                              <a:xfrm flipV="1">
                                <a:off x="0" y="0"/>
                                <a:ext cx="567436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AECC9" id="Straight Connector 2"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35pt" to="44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" strokecolor="#5a5a5a [2109]" strokeweight=".5pt"/>
                  </w:pict>
                </mc:Fallback>
              </mc:AlternateContent>
            </w:r>
          </w:p>
          <w:p w14:paraId="6A0DB0E6" w14:textId="41ADF752" w:rsidR="003E7815" w:rsidRPr="00FF68C3" w:rsidRDefault="009F0C26" w:rsidP="003E7815">
            <w:pPr>
              <w:pStyle w:val="Footer"/>
              <w:tabs>
                <w:tab w:val="clear" w:pos="4680"/>
                <w:tab w:val="clear" w:pos="9360"/>
                <w:tab w:val="right" w:pos="9071"/>
              </w:tabs>
              <w:jc w:val="center"/>
              <w:rPr>
                <w:rFonts w:ascii="Faruma" w:hAnsi="Faruma" w:cs="Faruma"/>
                <w:color w:val="404040" w:themeColor="text1" w:themeTint="BF"/>
                <w:sz w:val="16"/>
                <w:szCs w:val="16"/>
                <w:rtl/>
                <w:lang w:bidi="dv-MV"/>
              </w:rPr>
            </w:pPr>
            <w:r w:rsidRPr="00FF68C3">
              <w:rPr>
                <w:rFonts w:ascii="Faruma" w:hAnsi="Faruma" w:cs="Faruma"/>
                <w:noProof/>
                <w:color w:val="404040" w:themeColor="text1" w:themeTint="BF"/>
                <w:sz w:val="16"/>
                <w:szCs w:val="16"/>
              </w:rPr>
              <w:drawing>
                <wp:anchor distT="0" distB="0" distL="114300" distR="114300" simplePos="0" relativeHeight="251647488" behindDoc="0" locked="0" layoutInCell="1" allowOverlap="1" wp14:anchorId="5648D466" wp14:editId="3C592191">
                  <wp:simplePos x="0" y="0"/>
                  <wp:positionH relativeFrom="column">
                    <wp:posOffset>1970405</wp:posOffset>
                  </wp:positionH>
                  <wp:positionV relativeFrom="paragraph">
                    <wp:posOffset>104267</wp:posOffset>
                  </wp:positionV>
                  <wp:extent cx="222250" cy="220345"/>
                  <wp:effectExtent l="0" t="0" r="0" b="0"/>
                  <wp:wrapNone/>
                  <wp:docPr id="458236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3914" name="Picture 1004553914"/>
                          <pic:cNvPicPr/>
                        </pic:nvPicPr>
                        <pic:blipFill>
                          <a:blip r:embed="rId1">
                            <a:extLst>
                              <a:ext uri="{28A0092B-C50C-407E-A947-70E740481C1C}">
                                <a14:useLocalDpi xmlns:a14="http://schemas.microsoft.com/office/drawing/2010/main" val="0"/>
                              </a:ext>
                            </a:extLst>
                          </a:blip>
                          <a:stretch>
                            <a:fillRect/>
                          </a:stretch>
                        </pic:blipFill>
                        <pic:spPr>
                          <a:xfrm>
                            <a:off x="0" y="0"/>
                            <a:ext cx="222250" cy="22034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44416" behindDoc="0" locked="0" layoutInCell="1" allowOverlap="1" wp14:anchorId="72BD08B1" wp14:editId="660DCE66">
                  <wp:simplePos x="0" y="0"/>
                  <wp:positionH relativeFrom="column">
                    <wp:posOffset>943610</wp:posOffset>
                  </wp:positionH>
                  <wp:positionV relativeFrom="paragraph">
                    <wp:posOffset>99060</wp:posOffset>
                  </wp:positionV>
                  <wp:extent cx="232410" cy="230505"/>
                  <wp:effectExtent l="0" t="0" r="0" b="0"/>
                  <wp:wrapNone/>
                  <wp:docPr id="1350002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574" name="Picture 191235574"/>
                          <pic:cNvPicPr/>
                        </pic:nvPicPr>
                        <pic:blipFill>
                          <a:blip r:embed="rId2">
                            <a:extLst>
                              <a:ext uri="{28A0092B-C50C-407E-A947-70E740481C1C}">
                                <a14:useLocalDpi xmlns:a14="http://schemas.microsoft.com/office/drawing/2010/main" val="0"/>
                              </a:ext>
                            </a:extLst>
                          </a:blip>
                          <a:stretch>
                            <a:fillRect/>
                          </a:stretch>
                        </pic:blipFill>
                        <pic:spPr>
                          <a:xfrm>
                            <a:off x="0" y="0"/>
                            <a:ext cx="232410" cy="23050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50560" behindDoc="0" locked="0" layoutInCell="1" allowOverlap="1" wp14:anchorId="0FE1E59C" wp14:editId="02976764">
                  <wp:simplePos x="0" y="0"/>
                  <wp:positionH relativeFrom="column">
                    <wp:posOffset>3406140</wp:posOffset>
                  </wp:positionH>
                  <wp:positionV relativeFrom="paragraph">
                    <wp:posOffset>104775</wp:posOffset>
                  </wp:positionV>
                  <wp:extent cx="226695" cy="224790"/>
                  <wp:effectExtent l="0" t="0" r="0" b="0"/>
                  <wp:wrapNone/>
                  <wp:docPr id="688720711" name="Picture 68872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69116" name="Picture 1312269116"/>
                          <pic:cNvPicPr/>
                        </pic:nvPicPr>
                        <pic:blipFill>
                          <a:blip r:embed="rId3">
                            <a:extLst>
                              <a:ext uri="{28A0092B-C50C-407E-A947-70E740481C1C}">
                                <a14:useLocalDpi xmlns:a14="http://schemas.microsoft.com/office/drawing/2010/main" val="0"/>
                              </a:ext>
                            </a:extLst>
                          </a:blip>
                          <a:stretch>
                            <a:fillRect/>
                          </a:stretch>
                        </pic:blipFill>
                        <pic:spPr>
                          <a:xfrm>
                            <a:off x="0" y="0"/>
                            <a:ext cx="226695" cy="2247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E7815" w:rsidRPr="00FF68C3">
              <w:rPr>
                <w:rFonts w:ascii="Faruma" w:hAnsi="Faruma" w:cs="Faruma"/>
                <w:color w:val="404040" w:themeColor="text1" w:themeTint="BF"/>
                <w:sz w:val="16"/>
                <w:szCs w:val="16"/>
              </w:rPr>
              <w:t>Dharubaaruge</w:t>
            </w:r>
            <w:proofErr w:type="spellEnd"/>
            <w:r w:rsidR="003E7815" w:rsidRPr="00FF68C3">
              <w:rPr>
                <w:rFonts w:ascii="Faruma" w:hAnsi="Faruma" w:cs="Faruma"/>
                <w:color w:val="404040" w:themeColor="text1" w:themeTint="BF"/>
                <w:sz w:val="16"/>
                <w:szCs w:val="16"/>
              </w:rPr>
              <w:t xml:space="preserve">, </w:t>
            </w:r>
            <w:proofErr w:type="spellStart"/>
            <w:r w:rsidR="003E7815" w:rsidRPr="00FF68C3">
              <w:rPr>
                <w:rFonts w:ascii="Faruma" w:hAnsi="Faruma" w:cs="Faruma"/>
                <w:color w:val="404040" w:themeColor="text1" w:themeTint="BF"/>
                <w:sz w:val="16"/>
                <w:szCs w:val="16"/>
              </w:rPr>
              <w:t>Ameenee</w:t>
            </w:r>
            <w:proofErr w:type="spellEnd"/>
            <w:r w:rsidR="003E7815" w:rsidRPr="00FF68C3">
              <w:rPr>
                <w:rFonts w:ascii="Faruma" w:hAnsi="Faruma" w:cs="Faruma"/>
                <w:color w:val="404040" w:themeColor="text1" w:themeTint="BF"/>
                <w:sz w:val="16"/>
                <w:szCs w:val="16"/>
              </w:rPr>
              <w:t xml:space="preserve"> Magu, Male’, 20344, Republic of Maldives</w:t>
            </w:r>
          </w:p>
          <w:p w14:paraId="00974309" w14:textId="20B3C2AF" w:rsidR="007B1F90" w:rsidRPr="00FF68C3" w:rsidRDefault="00C67B9B" w:rsidP="003E7815">
            <w:pPr>
              <w:pStyle w:val="Footer"/>
              <w:tabs>
                <w:tab w:val="clear" w:pos="4680"/>
                <w:tab w:val="clear" w:pos="9360"/>
                <w:tab w:val="right" w:pos="9071"/>
              </w:tabs>
              <w:jc w:val="center"/>
              <w:rPr>
                <w:rFonts w:ascii="Faruma" w:hAnsi="Faruma" w:cs="Faruma"/>
                <w:noProof/>
                <w:color w:val="595959" w:themeColor="text1" w:themeTint="A6"/>
                <w:sz w:val="12"/>
                <w:szCs w:val="12"/>
              </w:rPr>
            </w:pP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(+960) 4004-900  </w:t>
            </w: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w:t>
            </w:r>
            <w:hyperlink r:id="rId4" w:history="1">
              <w:r w:rsidR="003E7815" w:rsidRPr="00FF68C3">
                <w:rPr>
                  <w:rStyle w:val="Hyperlink"/>
                  <w:rFonts w:ascii="Faruma" w:hAnsi="Faruma" w:cs="Faruma"/>
                  <w:color w:val="404040" w:themeColor="text1" w:themeTint="BF"/>
                  <w:sz w:val="16"/>
                  <w:szCs w:val="16"/>
                  <w:u w:val="none"/>
                </w:rPr>
                <w:t>info@infrastructure.gov.mv</w:t>
              </w:r>
            </w:hyperlink>
            <w:r w:rsidR="003E7815" w:rsidRPr="00FF68C3">
              <w:rPr>
                <w:rFonts w:ascii="Faruma" w:hAnsi="Faruma" w:cs="Faruma"/>
                <w:color w:val="404040" w:themeColor="text1" w:themeTint="BF"/>
                <w:sz w:val="16"/>
                <w:szCs w:val="16"/>
              </w:rPr>
              <w:t xml:space="preserve">  </w:t>
            </w: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www.infrastructure.gov.mv</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4E74" w14:textId="77777777" w:rsidR="00B0799D" w:rsidRDefault="00B0799D" w:rsidP="002A5DEF">
      <w:pPr>
        <w:spacing w:after="0" w:line="240" w:lineRule="auto"/>
      </w:pPr>
      <w:r>
        <w:separator/>
      </w:r>
    </w:p>
  </w:footnote>
  <w:footnote w:type="continuationSeparator" w:id="0">
    <w:p w14:paraId="1BA0A7C2" w14:textId="77777777" w:rsidR="00B0799D" w:rsidRDefault="00B0799D" w:rsidP="002A5DEF">
      <w:pPr>
        <w:spacing w:after="0" w:line="240" w:lineRule="auto"/>
      </w:pPr>
      <w:r>
        <w:continuationSeparator/>
      </w:r>
    </w:p>
  </w:footnote>
  <w:footnote w:id="1">
    <w:p w14:paraId="09926302" w14:textId="77777777" w:rsidR="00C23AEF" w:rsidRPr="00FF4B50" w:rsidRDefault="00C23AEF" w:rsidP="00C23AEF">
      <w:pPr>
        <w:pStyle w:val="FootnoteText"/>
        <w:rPr>
          <w:sz w:val="16"/>
          <w:szCs w:val="16"/>
        </w:rPr>
      </w:pPr>
      <w:r w:rsidRPr="00FF4B50">
        <w:rPr>
          <w:sz w:val="16"/>
          <w:szCs w:val="16"/>
        </w:rPr>
        <w:footnoteRef/>
      </w:r>
      <w:r w:rsidRPr="00FF4B50">
        <w:rPr>
          <w:sz w:val="16"/>
          <w:szCs w:val="16"/>
        </w:rPr>
        <w:t xml:space="preserve"> Source: Government of Maldives Ministry of Finance, 2024.</w:t>
      </w:r>
    </w:p>
  </w:footnote>
  <w:footnote w:id="2">
    <w:p w14:paraId="4FED05E3" w14:textId="77777777" w:rsidR="00C23AEF" w:rsidRPr="005F652F" w:rsidRDefault="00C23AEF" w:rsidP="00C23AEF">
      <w:pPr>
        <w:pStyle w:val="FootnoteText"/>
        <w:rPr>
          <w:sz w:val="18"/>
          <w:szCs w:val="18"/>
        </w:rPr>
      </w:pPr>
      <w:r>
        <w:rPr>
          <w:rStyle w:val="FootnoteReference"/>
        </w:rPr>
        <w:footnoteRef/>
      </w:r>
      <w:r>
        <w:t xml:space="preserve"> </w:t>
      </w:r>
      <w:r w:rsidRPr="005F652F">
        <w:rPr>
          <w:sz w:val="18"/>
          <w:szCs w:val="18"/>
        </w:rPr>
        <w:t xml:space="preserve">Source: </w:t>
      </w:r>
      <w:proofErr w:type="spellStart"/>
      <w:r w:rsidRPr="005F652F">
        <w:rPr>
          <w:sz w:val="18"/>
          <w:szCs w:val="18"/>
        </w:rPr>
        <w:t>MoFP</w:t>
      </w:r>
      <w:proofErr w:type="spellEnd"/>
    </w:p>
  </w:footnote>
  <w:footnote w:id="3">
    <w:p w14:paraId="5307BE37" w14:textId="77777777" w:rsidR="00C23AEF" w:rsidRPr="000439A9" w:rsidRDefault="00C23AEF" w:rsidP="00C23AEF">
      <w:pPr>
        <w:pStyle w:val="FootnoteText"/>
        <w:rPr>
          <w:sz w:val="16"/>
          <w:szCs w:val="16"/>
        </w:rPr>
      </w:pPr>
      <w:r>
        <w:rPr>
          <w:rStyle w:val="FootnoteReference"/>
        </w:rPr>
        <w:footnoteRef/>
      </w:r>
      <w:r>
        <w:t xml:space="preserve"> </w:t>
      </w:r>
      <w:r>
        <w:rPr>
          <w:sz w:val="16"/>
          <w:szCs w:val="16"/>
        </w:rPr>
        <w:t xml:space="preserve">Surveys to test the key public and private stakeholders feedback on potential supply-side reforms will be done under another TOR “Maldives Affordable Housing Program Development Survey”.  This TOR will be procured concurrently with this TOR. </w:t>
      </w:r>
    </w:p>
  </w:footnote>
  <w:footnote w:id="4">
    <w:p w14:paraId="6B191B45" w14:textId="77777777" w:rsidR="00C23AEF" w:rsidRPr="004A0CAF" w:rsidRDefault="00C23AEF" w:rsidP="00C23AEF">
      <w:pPr>
        <w:pStyle w:val="FootnoteText"/>
        <w:rPr>
          <w:sz w:val="16"/>
          <w:szCs w:val="16"/>
        </w:rPr>
      </w:pPr>
      <w:r>
        <w:rPr>
          <w:rStyle w:val="FootnoteReference"/>
        </w:rPr>
        <w:footnoteRef/>
      </w:r>
      <w:r>
        <w:t xml:space="preserve"> </w:t>
      </w:r>
      <w:r>
        <w:rPr>
          <w:sz w:val="16"/>
          <w:szCs w:val="16"/>
        </w:rPr>
        <w:t xml:space="preserve">PPP for affordable housing is time consuming and complex to develop and implement for developing economies.  It is recommended that the Consultant tailors PPP principle in a practical way for the Maldives, taking into consideration the country small-scale context and the small albeit growing local developers’ technical and financial capacity.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3095" w14:textId="77777777" w:rsidR="007B1F90" w:rsidRDefault="007B1F90" w:rsidP="00B87C02">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inline distT="0" distB="0" distL="0" distR="0" wp14:anchorId="198F60BC" wp14:editId="2C7EBDD3">
              <wp:extent cx="752475" cy="594995"/>
              <wp:effectExtent l="0" t="0" r="0" b="0"/>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8F11" w14:textId="77777777" w:rsidR="007B1F90" w:rsidRDefault="007B1F90" w:rsidP="00B87C02">
                          <w:pPr>
                            <w:jc w:val="center"/>
                          </w:pPr>
                          <w:r>
                            <w:rPr>
                              <w:noProof/>
                              <w:lang w:val="en-GB" w:eastAsia="en-GB"/>
                            </w:rPr>
                            <w:drawing>
                              <wp:inline distT="0" distB="0" distL="0" distR="0" wp14:anchorId="148D7593" wp14:editId="11E43CDB">
                                <wp:extent cx="467360" cy="503555"/>
                                <wp:effectExtent l="0" t="0" r="8890" b="0"/>
                                <wp:docPr id="856357858" name="Picture 85635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98F60BC" id="_x0000_t202" coordsize="21600,21600" o:spt="202" path="m,l,21600r21600,l21600,xe">
              <v:stroke joinstyle="miter"/>
              <v:path gradientshapeok="t" o:connecttype="rect"/>
            </v:shapetype>
            <v:shape id="Text Box 14" o:spid="_x0000_s1026" type="#_x0000_t202" style="width:59.2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" filled="f" stroked="f">
              <v:textbox>
                <w:txbxContent>
                  <w:p w14:paraId="1FB58F11" w14:textId="77777777" w:rsidR="007B1F90" w:rsidRDefault="007B1F90" w:rsidP="00B87C02">
                    <w:pPr>
                      <w:jc w:val="center"/>
                    </w:pPr>
                    <w:r>
                      <w:rPr>
                        <w:noProof/>
                        <w:lang w:val="en-GB" w:eastAsia="en-GB"/>
                      </w:rPr>
                      <w:drawing>
                        <wp:inline distT="0" distB="0" distL="0" distR="0" wp14:anchorId="148D7593" wp14:editId="11E43CDB">
                          <wp:extent cx="467360" cy="503555"/>
                          <wp:effectExtent l="0" t="0" r="8890" b="0"/>
                          <wp:docPr id="856357858" name="Picture 85635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w10:anchorlock/>
            </v:shape>
          </w:pict>
        </mc:Fallback>
      </mc:AlternateContent>
    </w:r>
  </w:p>
  <w:p w14:paraId="3DF46D0A" w14:textId="77777777" w:rsidR="007B1F90" w:rsidRPr="00496C18" w:rsidRDefault="007B1F90" w:rsidP="00B87C02">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B77" w14:textId="77777777" w:rsidR="007B1F90" w:rsidRPr="002C193E" w:rsidRDefault="007B1F90" w:rsidP="002C193E">
    <w:pPr>
      <w:tabs>
        <w:tab w:val="left" w:pos="530"/>
        <w:tab w:val="left" w:pos="920"/>
        <w:tab w:val="left" w:pos="2062"/>
        <w:tab w:val="center" w:pos="4394"/>
        <w:tab w:val="center" w:pos="4535"/>
        <w:tab w:val="right" w:pos="9071"/>
      </w:tabs>
      <w:bidi/>
      <w:spacing w:after="0" w:line="240" w:lineRule="auto"/>
      <w:rPr>
        <w:rFonts w:ascii="Faruma" w:hAnsi="Faruma" w:cs="Faruma"/>
        <w:sz w:val="24"/>
        <w:szCs w:val="24"/>
        <w:lang w:bidi="dv-MV"/>
      </w:rPr>
    </w:pPr>
    <w:r w:rsidRPr="00C44F83">
      <w:rPr>
        <w:noProof/>
        <w:sz w:val="52"/>
        <w:szCs w:val="52"/>
        <w:lang w:val="en-GB" w:eastAsia="en-GB"/>
      </w:rPr>
      <w:drawing>
        <wp:anchor distT="0" distB="0" distL="114300" distR="114300" simplePos="0" relativeHeight="251674112" behindDoc="0" locked="0" layoutInCell="1" allowOverlap="1" wp14:anchorId="67876EEB" wp14:editId="28DA832E">
          <wp:simplePos x="0" y="0"/>
          <wp:positionH relativeFrom="column">
            <wp:posOffset>2630805</wp:posOffset>
          </wp:positionH>
          <wp:positionV relativeFrom="paragraph">
            <wp:posOffset>68316</wp:posOffset>
          </wp:positionV>
          <wp:extent cx="467360" cy="503555"/>
          <wp:effectExtent l="0" t="0" r="8890" b="0"/>
          <wp:wrapSquare wrapText="bothSides"/>
          <wp:docPr id="115548180" name="Picture 11554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14:sizeRelH relativeFrom="margin">
            <wp14:pctWidth>0</wp14:pctWidth>
          </wp14:sizeRelH>
          <wp14:sizeRelV relativeFrom="margin">
            <wp14:pctHeight>0</wp14:pctHeight>
          </wp14:sizeRelV>
        </wp:anchor>
      </w:drawing>
    </w:r>
    <w:r w:rsidRPr="002C193E">
      <w:rPr>
        <w:rFonts w:ascii="Faruma" w:hAnsi="Faruma" w:cs="Faruma"/>
        <w:b/>
        <w:bCs/>
        <w:sz w:val="24"/>
        <w:szCs w:val="24"/>
        <w:rtl/>
        <w:lang w:bidi="dv-MV"/>
      </w:rPr>
      <w:tab/>
    </w:r>
    <w:r w:rsidRPr="002C193E">
      <w:rPr>
        <w:rFonts w:ascii="Faruma" w:hAnsi="Faruma" w:cs="Faruma"/>
        <w:b/>
        <w:bCs/>
        <w:sz w:val="24"/>
        <w:szCs w:val="24"/>
        <w:rtl/>
        <w:lang w:bidi="dv-MV"/>
      </w:rPr>
      <w:tab/>
    </w:r>
    <w:r w:rsidRPr="002C193E">
      <w:rPr>
        <w:rFonts w:ascii="Faruma" w:hAnsi="Faruma" w:cs="Faruma"/>
        <w:sz w:val="24"/>
        <w:szCs w:val="24"/>
        <w:rtl/>
        <w:lang w:bidi="dv-MV"/>
      </w:rPr>
      <w:tab/>
    </w:r>
    <w:r w:rsidRPr="002C193E">
      <w:rPr>
        <w:rFonts w:ascii="Faruma" w:hAnsi="Faruma" w:cs="Faruma"/>
        <w:sz w:val="24"/>
        <w:szCs w:val="24"/>
        <w:rtl/>
        <w:lang w:bidi="dv-MV"/>
      </w:rPr>
      <w:tab/>
    </w:r>
  </w:p>
  <w:p w14:paraId="046BFBA4" w14:textId="77777777" w:rsidR="007B1F90" w:rsidRDefault="007B1F90" w:rsidP="002C193E">
    <w:pPr>
      <w:tabs>
        <w:tab w:val="center" w:pos="4535"/>
        <w:tab w:val="right" w:pos="9071"/>
      </w:tabs>
      <w:bidi/>
      <w:spacing w:after="0" w:line="240" w:lineRule="auto"/>
      <w:rPr>
        <w:rFonts w:ascii="Faruma" w:hAnsi="Faruma" w:cs="Faruma"/>
        <w:b/>
        <w:bCs/>
        <w:sz w:val="24"/>
        <w:szCs w:val="24"/>
        <w:lang w:bidi="dv-MV"/>
      </w:rPr>
    </w:pPr>
  </w:p>
  <w:p w14:paraId="3DA17A07" w14:textId="77777777" w:rsidR="007D77AB" w:rsidRPr="00FF68C3" w:rsidRDefault="007D77AB" w:rsidP="007D77AB">
    <w:pPr>
      <w:tabs>
        <w:tab w:val="center" w:pos="4535"/>
        <w:tab w:val="right" w:pos="9071"/>
      </w:tabs>
      <w:bidi/>
      <w:spacing w:after="0" w:line="240" w:lineRule="auto"/>
      <w:rPr>
        <w:rFonts w:ascii="Faruma" w:hAnsi="Faruma" w:cs="Faruma"/>
        <w:b/>
        <w:bCs/>
        <w:sz w:val="24"/>
        <w:szCs w:val="24"/>
        <w:lang w:bidi="dv-MV"/>
      </w:rPr>
    </w:pPr>
  </w:p>
  <w:p w14:paraId="3B93B6BC" w14:textId="77777777" w:rsidR="00576BD4" w:rsidRDefault="007B1F90" w:rsidP="00576BD4">
    <w:pPr>
      <w:tabs>
        <w:tab w:val="center" w:pos="4535"/>
        <w:tab w:val="right" w:pos="9071"/>
      </w:tabs>
      <w:bidi/>
      <w:spacing w:after="0" w:line="240" w:lineRule="auto"/>
      <w:jc w:val="center"/>
      <w:rPr>
        <w:rFonts w:ascii="Times New Roman" w:hAnsi="Times New Roman" w:cs="MV Boli"/>
        <w:b/>
        <w:bCs/>
        <w:sz w:val="18"/>
        <w:szCs w:val="18"/>
        <w:lang w:bidi="dv-MV"/>
      </w:rPr>
    </w:pPr>
    <w:r w:rsidRPr="00FF68C3">
      <w:rPr>
        <w:rFonts w:ascii="Times New Roman" w:hAnsi="Times New Roman" w:cs="Times New Roman"/>
        <w:b/>
        <w:bCs/>
        <w:sz w:val="18"/>
        <w:szCs w:val="18"/>
        <w:lang w:bidi="dv-MV"/>
      </w:rPr>
      <w:t xml:space="preserve">Ministry of </w:t>
    </w:r>
    <w:r w:rsidR="00127FD1" w:rsidRPr="00FF68C3">
      <w:rPr>
        <w:rFonts w:ascii="Times New Roman" w:hAnsi="Times New Roman" w:cs="MV Boli"/>
        <w:b/>
        <w:bCs/>
        <w:sz w:val="18"/>
        <w:szCs w:val="18"/>
        <w:lang w:bidi="dv-MV"/>
      </w:rPr>
      <w:t>Construction</w:t>
    </w:r>
    <w:r w:rsidR="00FF68C3" w:rsidRPr="00FF68C3">
      <w:rPr>
        <w:rFonts w:ascii="Times New Roman" w:hAnsi="Times New Roman" w:cs="MV Boli"/>
        <w:b/>
        <w:bCs/>
        <w:sz w:val="18"/>
        <w:szCs w:val="18"/>
        <w:lang w:bidi="dv-MV"/>
      </w:rPr>
      <w:t>, Housing</w:t>
    </w:r>
    <w:r w:rsidR="00F13783" w:rsidRPr="00FF68C3">
      <w:rPr>
        <w:rFonts w:ascii="Times New Roman" w:hAnsi="Times New Roman" w:cs="MV Boli"/>
        <w:b/>
        <w:bCs/>
        <w:sz w:val="18"/>
        <w:szCs w:val="18"/>
        <w:lang w:bidi="dv-MV"/>
      </w:rPr>
      <w:t xml:space="preserve"> and </w:t>
    </w:r>
    <w:r w:rsidR="001A708B" w:rsidRPr="00FF68C3">
      <w:rPr>
        <w:rFonts w:ascii="Times New Roman" w:hAnsi="Times New Roman" w:cs="MV Boli"/>
        <w:b/>
        <w:bCs/>
        <w:sz w:val="18"/>
        <w:szCs w:val="18"/>
        <w:lang w:bidi="dv-MV"/>
      </w:rPr>
      <w:t>Infrastructure</w:t>
    </w:r>
  </w:p>
  <w:p w14:paraId="52E614C5" w14:textId="2CD61DFE" w:rsidR="007B1F90" w:rsidRPr="0077077C" w:rsidRDefault="007B1F90" w:rsidP="00576BD4">
    <w:pPr>
      <w:tabs>
        <w:tab w:val="center" w:pos="4535"/>
        <w:tab w:val="right" w:pos="9071"/>
      </w:tabs>
      <w:bidi/>
      <w:spacing w:after="0" w:line="240" w:lineRule="auto"/>
      <w:jc w:val="center"/>
      <w:rPr>
        <w:rFonts w:asciiTheme="majorBidi" w:hAnsiTheme="majorBidi" w:cstheme="majorBidi"/>
        <w:b/>
        <w:bCs/>
        <w:sz w:val="18"/>
        <w:szCs w:val="18"/>
        <w:rtl/>
        <w:lang w:bidi="dv-MV"/>
      </w:rPr>
    </w:pPr>
    <w:r w:rsidRPr="00FF68C3">
      <w:rPr>
        <w:rFonts w:asciiTheme="majorBidi" w:hAnsiTheme="majorBidi" w:cstheme="majorBidi"/>
        <w:sz w:val="18"/>
        <w:szCs w:val="18"/>
        <w:lang w:bidi="dv-MV"/>
      </w:rPr>
      <w:t>Male’, Republic of Maldives.</w:t>
    </w:r>
  </w:p>
  <w:p w14:paraId="5FB7A86D" w14:textId="02880015" w:rsidR="007B1F90" w:rsidRPr="002C193E" w:rsidRDefault="007B1F90" w:rsidP="002C193E">
    <w:pPr>
      <w:tabs>
        <w:tab w:val="center" w:pos="4535"/>
        <w:tab w:val="right" w:pos="9071"/>
      </w:tabs>
      <w:bidi/>
      <w:spacing w:after="0" w:line="240" w:lineRule="auto"/>
      <w:rPr>
        <w:rFonts w:ascii="Times New Roman" w:hAnsi="Times New Roman" w:cs="Times New Roman"/>
        <w:b/>
        <w:bCs/>
        <w:sz w:val="8"/>
        <w:szCs w:val="8"/>
        <w:lang w:bidi="dv-MV"/>
      </w:rPr>
    </w:pPr>
  </w:p>
  <w:p w14:paraId="23C535CA" w14:textId="77777777" w:rsidR="007B1F90" w:rsidRPr="00B87C02" w:rsidRDefault="007B1F90" w:rsidP="00381467">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54D"/>
    <w:multiLevelType w:val="hybridMultilevel"/>
    <w:tmpl w:val="8B3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53E7"/>
    <w:multiLevelType w:val="hybridMultilevel"/>
    <w:tmpl w:val="42A069FA"/>
    <w:lvl w:ilvl="0" w:tplc="0409000F">
      <w:start w:val="1"/>
      <w:numFmt w:val="decimal"/>
      <w:lvlText w:val="%1."/>
      <w:lvlJc w:val="left"/>
      <w:pPr>
        <w:ind w:left="720" w:hanging="360"/>
      </w:pPr>
    </w:lvl>
    <w:lvl w:ilvl="1" w:tplc="16528D6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F4471"/>
    <w:multiLevelType w:val="hybridMultilevel"/>
    <w:tmpl w:val="87D6BD50"/>
    <w:lvl w:ilvl="0" w:tplc="E7A897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B74EFB"/>
    <w:multiLevelType w:val="multilevel"/>
    <w:tmpl w:val="F3F83284"/>
    <w:lvl w:ilvl="0">
      <w:start w:val="1"/>
      <w:numFmt w:val="lowerLetter"/>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0247C"/>
    <w:multiLevelType w:val="hybridMultilevel"/>
    <w:tmpl w:val="3112D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3B2353"/>
    <w:multiLevelType w:val="multilevel"/>
    <w:tmpl w:val="C806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C6245"/>
    <w:multiLevelType w:val="hybridMultilevel"/>
    <w:tmpl w:val="61A43F26"/>
    <w:lvl w:ilvl="0" w:tplc="93C8D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87EF9"/>
    <w:multiLevelType w:val="multilevel"/>
    <w:tmpl w:val="AF7CB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A022E"/>
    <w:multiLevelType w:val="multilevel"/>
    <w:tmpl w:val="9812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15192"/>
    <w:multiLevelType w:val="hybridMultilevel"/>
    <w:tmpl w:val="2F705A48"/>
    <w:lvl w:ilvl="0" w:tplc="0FEC3A60">
      <w:start w:val="1"/>
      <w:numFmt w:val="decimal"/>
      <w:lvlText w:val="%1."/>
      <w:lvlJc w:val="left"/>
      <w:pPr>
        <w:ind w:left="720" w:hanging="360"/>
      </w:pPr>
      <w:rPr>
        <w:u w:val="none"/>
      </w:rPr>
    </w:lvl>
    <w:lvl w:ilvl="1" w:tplc="EEAE11AE">
      <w:start w:val="1"/>
      <w:numFmt w:val="lowerLetter"/>
      <w:lvlText w:val="%2."/>
      <w:lvlJc w:val="left"/>
      <w:pPr>
        <w:ind w:left="1440" w:hanging="360"/>
      </w:pPr>
      <w:rPr>
        <w:u w:val="none"/>
      </w:rPr>
    </w:lvl>
    <w:lvl w:ilvl="2" w:tplc="B27E1F2A">
      <w:start w:val="1"/>
      <w:numFmt w:val="lowerRoman"/>
      <w:lvlText w:val="%3."/>
      <w:lvlJc w:val="right"/>
      <w:pPr>
        <w:ind w:left="2160" w:hanging="360"/>
      </w:pPr>
      <w:rPr>
        <w:u w:val="none"/>
      </w:rPr>
    </w:lvl>
    <w:lvl w:ilvl="3" w:tplc="D1949090">
      <w:start w:val="1"/>
      <w:numFmt w:val="decimal"/>
      <w:lvlText w:val="%4."/>
      <w:lvlJc w:val="left"/>
      <w:pPr>
        <w:ind w:left="2880" w:hanging="360"/>
      </w:pPr>
      <w:rPr>
        <w:u w:val="none"/>
      </w:rPr>
    </w:lvl>
    <w:lvl w:ilvl="4" w:tplc="91004552">
      <w:start w:val="1"/>
      <w:numFmt w:val="lowerLetter"/>
      <w:lvlText w:val="%5."/>
      <w:lvlJc w:val="left"/>
      <w:pPr>
        <w:ind w:left="3600" w:hanging="360"/>
      </w:pPr>
      <w:rPr>
        <w:u w:val="none"/>
      </w:rPr>
    </w:lvl>
    <w:lvl w:ilvl="5" w:tplc="DF2A0BAE">
      <w:start w:val="1"/>
      <w:numFmt w:val="lowerRoman"/>
      <w:lvlText w:val="%6."/>
      <w:lvlJc w:val="right"/>
      <w:pPr>
        <w:ind w:left="4320" w:hanging="360"/>
      </w:pPr>
      <w:rPr>
        <w:u w:val="none"/>
      </w:rPr>
    </w:lvl>
    <w:lvl w:ilvl="6" w:tplc="4DD0794A">
      <w:start w:val="1"/>
      <w:numFmt w:val="decimal"/>
      <w:lvlText w:val="%7."/>
      <w:lvlJc w:val="left"/>
      <w:pPr>
        <w:ind w:left="5040" w:hanging="360"/>
      </w:pPr>
      <w:rPr>
        <w:u w:val="none"/>
      </w:rPr>
    </w:lvl>
    <w:lvl w:ilvl="7" w:tplc="812271B2">
      <w:start w:val="1"/>
      <w:numFmt w:val="lowerLetter"/>
      <w:lvlText w:val="%8."/>
      <w:lvlJc w:val="left"/>
      <w:pPr>
        <w:ind w:left="5760" w:hanging="360"/>
      </w:pPr>
      <w:rPr>
        <w:u w:val="none"/>
      </w:rPr>
    </w:lvl>
    <w:lvl w:ilvl="8" w:tplc="1AEC3356">
      <w:start w:val="1"/>
      <w:numFmt w:val="lowerRoman"/>
      <w:lvlText w:val="%9."/>
      <w:lvlJc w:val="right"/>
      <w:pPr>
        <w:ind w:left="6480" w:hanging="360"/>
      </w:pPr>
      <w:rPr>
        <w:u w:val="none"/>
      </w:rPr>
    </w:lvl>
  </w:abstractNum>
  <w:abstractNum w:abstractNumId="10" w15:restartNumberingAfterBreak="0">
    <w:nsid w:val="31F367D4"/>
    <w:multiLevelType w:val="hybridMultilevel"/>
    <w:tmpl w:val="61A43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1E2C33"/>
    <w:multiLevelType w:val="hybridMultilevel"/>
    <w:tmpl w:val="4BD46814"/>
    <w:lvl w:ilvl="0" w:tplc="7318E3FE">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880FD0"/>
    <w:multiLevelType w:val="hybridMultilevel"/>
    <w:tmpl w:val="BF9E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56791"/>
    <w:multiLevelType w:val="multilevel"/>
    <w:tmpl w:val="DEA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13B69"/>
    <w:multiLevelType w:val="multilevel"/>
    <w:tmpl w:val="B85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65B13"/>
    <w:multiLevelType w:val="hybridMultilevel"/>
    <w:tmpl w:val="4FA25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82234"/>
    <w:multiLevelType w:val="hybridMultilevel"/>
    <w:tmpl w:val="6BD8AF50"/>
    <w:lvl w:ilvl="0" w:tplc="B8540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21726"/>
    <w:multiLevelType w:val="hybridMultilevel"/>
    <w:tmpl w:val="7D7A3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559891">
    <w:abstractNumId w:val="12"/>
  </w:num>
  <w:num w:numId="2" w16cid:durableId="920481635">
    <w:abstractNumId w:val="9"/>
  </w:num>
  <w:num w:numId="3" w16cid:durableId="609430081">
    <w:abstractNumId w:val="6"/>
  </w:num>
  <w:num w:numId="4" w16cid:durableId="884298189">
    <w:abstractNumId w:val="16"/>
  </w:num>
  <w:num w:numId="5" w16cid:durableId="923153109">
    <w:abstractNumId w:val="17"/>
  </w:num>
  <w:num w:numId="6" w16cid:durableId="837119010">
    <w:abstractNumId w:val="15"/>
  </w:num>
  <w:num w:numId="7" w16cid:durableId="1960531901">
    <w:abstractNumId w:val="10"/>
  </w:num>
  <w:num w:numId="8" w16cid:durableId="1998461848">
    <w:abstractNumId w:val="14"/>
  </w:num>
  <w:num w:numId="9" w16cid:durableId="1721975335">
    <w:abstractNumId w:val="1"/>
  </w:num>
  <w:num w:numId="10" w16cid:durableId="123551308">
    <w:abstractNumId w:val="4"/>
  </w:num>
  <w:num w:numId="11" w16cid:durableId="29764616">
    <w:abstractNumId w:val="2"/>
  </w:num>
  <w:num w:numId="12" w16cid:durableId="819881998">
    <w:abstractNumId w:val="11"/>
  </w:num>
  <w:num w:numId="13" w16cid:durableId="1296375427">
    <w:abstractNumId w:val="3"/>
  </w:num>
  <w:num w:numId="14" w16cid:durableId="860583213">
    <w:abstractNumId w:val="0"/>
  </w:num>
  <w:num w:numId="15" w16cid:durableId="186720139">
    <w:abstractNumId w:val="8"/>
  </w:num>
  <w:num w:numId="16" w16cid:durableId="470487683">
    <w:abstractNumId w:val="5"/>
  </w:num>
  <w:num w:numId="17" w16cid:durableId="1821724684">
    <w:abstractNumId w:val="13"/>
  </w:num>
  <w:num w:numId="18" w16cid:durableId="768283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style="mso-wrap-style:none;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7"/>
    <w:rsid w:val="0000085E"/>
    <w:rsid w:val="000022D5"/>
    <w:rsid w:val="00004558"/>
    <w:rsid w:val="00010986"/>
    <w:rsid w:val="000111A2"/>
    <w:rsid w:val="0001386D"/>
    <w:rsid w:val="000150AC"/>
    <w:rsid w:val="00015E5B"/>
    <w:rsid w:val="000170F9"/>
    <w:rsid w:val="00024C8E"/>
    <w:rsid w:val="00025605"/>
    <w:rsid w:val="00026FE3"/>
    <w:rsid w:val="00030AAF"/>
    <w:rsid w:val="00032D02"/>
    <w:rsid w:val="00033907"/>
    <w:rsid w:val="00033AD0"/>
    <w:rsid w:val="000428D0"/>
    <w:rsid w:val="00042AC2"/>
    <w:rsid w:val="00043E2F"/>
    <w:rsid w:val="00045518"/>
    <w:rsid w:val="000513A5"/>
    <w:rsid w:val="00052FC2"/>
    <w:rsid w:val="00055D93"/>
    <w:rsid w:val="00061BAB"/>
    <w:rsid w:val="00064683"/>
    <w:rsid w:val="000653AD"/>
    <w:rsid w:val="000679D8"/>
    <w:rsid w:val="0007018B"/>
    <w:rsid w:val="00073773"/>
    <w:rsid w:val="000768DD"/>
    <w:rsid w:val="00077E14"/>
    <w:rsid w:val="0008140A"/>
    <w:rsid w:val="00082EC2"/>
    <w:rsid w:val="00085433"/>
    <w:rsid w:val="0008580D"/>
    <w:rsid w:val="00086B32"/>
    <w:rsid w:val="00090366"/>
    <w:rsid w:val="000931FB"/>
    <w:rsid w:val="00094F99"/>
    <w:rsid w:val="000A4B66"/>
    <w:rsid w:val="000B5C4E"/>
    <w:rsid w:val="000C0E82"/>
    <w:rsid w:val="000C3613"/>
    <w:rsid w:val="000C71C8"/>
    <w:rsid w:val="000C7BC0"/>
    <w:rsid w:val="000D3B00"/>
    <w:rsid w:val="000D5789"/>
    <w:rsid w:val="000D638B"/>
    <w:rsid w:val="000E22E2"/>
    <w:rsid w:val="000E2D0B"/>
    <w:rsid w:val="000F1966"/>
    <w:rsid w:val="000F35FC"/>
    <w:rsid w:val="00101DE8"/>
    <w:rsid w:val="001022E8"/>
    <w:rsid w:val="001168E6"/>
    <w:rsid w:val="00117220"/>
    <w:rsid w:val="00121C94"/>
    <w:rsid w:val="00122599"/>
    <w:rsid w:val="00127FD1"/>
    <w:rsid w:val="00132110"/>
    <w:rsid w:val="0014681C"/>
    <w:rsid w:val="00151F5E"/>
    <w:rsid w:val="00155589"/>
    <w:rsid w:val="00155963"/>
    <w:rsid w:val="001607AC"/>
    <w:rsid w:val="00163144"/>
    <w:rsid w:val="00163F43"/>
    <w:rsid w:val="00167E39"/>
    <w:rsid w:val="0017070F"/>
    <w:rsid w:val="00175418"/>
    <w:rsid w:val="00175EE3"/>
    <w:rsid w:val="001802C9"/>
    <w:rsid w:val="001862FB"/>
    <w:rsid w:val="00195275"/>
    <w:rsid w:val="0019756D"/>
    <w:rsid w:val="001A24E8"/>
    <w:rsid w:val="001A6C0E"/>
    <w:rsid w:val="001A708B"/>
    <w:rsid w:val="001C0BFE"/>
    <w:rsid w:val="001D2CBB"/>
    <w:rsid w:val="001D7B98"/>
    <w:rsid w:val="001E04D2"/>
    <w:rsid w:val="001E1C01"/>
    <w:rsid w:val="001E453A"/>
    <w:rsid w:val="001E4718"/>
    <w:rsid w:val="001E4A55"/>
    <w:rsid w:val="001F01D2"/>
    <w:rsid w:val="001F238B"/>
    <w:rsid w:val="001F578B"/>
    <w:rsid w:val="001F5B07"/>
    <w:rsid w:val="001F7C44"/>
    <w:rsid w:val="00202041"/>
    <w:rsid w:val="00203545"/>
    <w:rsid w:val="00205052"/>
    <w:rsid w:val="002071A0"/>
    <w:rsid w:val="002114EE"/>
    <w:rsid w:val="00215E02"/>
    <w:rsid w:val="00221681"/>
    <w:rsid w:val="00230FA1"/>
    <w:rsid w:val="002315CD"/>
    <w:rsid w:val="002338B1"/>
    <w:rsid w:val="0023656B"/>
    <w:rsid w:val="00242954"/>
    <w:rsid w:val="00244BCC"/>
    <w:rsid w:val="00244F1D"/>
    <w:rsid w:val="002469B8"/>
    <w:rsid w:val="00247BDF"/>
    <w:rsid w:val="0025342B"/>
    <w:rsid w:val="00256E0A"/>
    <w:rsid w:val="00260FBC"/>
    <w:rsid w:val="002611C4"/>
    <w:rsid w:val="00261633"/>
    <w:rsid w:val="00261C37"/>
    <w:rsid w:val="00271195"/>
    <w:rsid w:val="00275B27"/>
    <w:rsid w:val="00276212"/>
    <w:rsid w:val="00276D55"/>
    <w:rsid w:val="00277658"/>
    <w:rsid w:val="00277D0D"/>
    <w:rsid w:val="00287AEA"/>
    <w:rsid w:val="002937A7"/>
    <w:rsid w:val="00296B6F"/>
    <w:rsid w:val="002A5DEF"/>
    <w:rsid w:val="002B3CA0"/>
    <w:rsid w:val="002B4FB7"/>
    <w:rsid w:val="002C0100"/>
    <w:rsid w:val="002C193E"/>
    <w:rsid w:val="002C4005"/>
    <w:rsid w:val="002D0A75"/>
    <w:rsid w:val="002D0B24"/>
    <w:rsid w:val="002D60DE"/>
    <w:rsid w:val="002E4FF0"/>
    <w:rsid w:val="002E5A66"/>
    <w:rsid w:val="002E6074"/>
    <w:rsid w:val="002F1E8E"/>
    <w:rsid w:val="002F5727"/>
    <w:rsid w:val="002F741A"/>
    <w:rsid w:val="00301A2E"/>
    <w:rsid w:val="00301C79"/>
    <w:rsid w:val="0030273F"/>
    <w:rsid w:val="00303874"/>
    <w:rsid w:val="0030604C"/>
    <w:rsid w:val="00306914"/>
    <w:rsid w:val="00312C62"/>
    <w:rsid w:val="00313C7C"/>
    <w:rsid w:val="00320744"/>
    <w:rsid w:val="003228F9"/>
    <w:rsid w:val="00322E4E"/>
    <w:rsid w:val="003304B6"/>
    <w:rsid w:val="00330783"/>
    <w:rsid w:val="00335D69"/>
    <w:rsid w:val="0033783B"/>
    <w:rsid w:val="0034087F"/>
    <w:rsid w:val="00341B1E"/>
    <w:rsid w:val="00343935"/>
    <w:rsid w:val="003460F7"/>
    <w:rsid w:val="00347918"/>
    <w:rsid w:val="00356A85"/>
    <w:rsid w:val="00360083"/>
    <w:rsid w:val="00360DD4"/>
    <w:rsid w:val="00364A7C"/>
    <w:rsid w:val="00365C3B"/>
    <w:rsid w:val="00365F5C"/>
    <w:rsid w:val="00367E94"/>
    <w:rsid w:val="00370AF6"/>
    <w:rsid w:val="00371484"/>
    <w:rsid w:val="003730D2"/>
    <w:rsid w:val="00373A01"/>
    <w:rsid w:val="00374150"/>
    <w:rsid w:val="00375932"/>
    <w:rsid w:val="00375BD9"/>
    <w:rsid w:val="00381467"/>
    <w:rsid w:val="00382388"/>
    <w:rsid w:val="0039400D"/>
    <w:rsid w:val="00396618"/>
    <w:rsid w:val="003A542C"/>
    <w:rsid w:val="003B071A"/>
    <w:rsid w:val="003B0C5C"/>
    <w:rsid w:val="003B3F1C"/>
    <w:rsid w:val="003B695C"/>
    <w:rsid w:val="003B6AB1"/>
    <w:rsid w:val="003C5689"/>
    <w:rsid w:val="003D5BB4"/>
    <w:rsid w:val="003E0546"/>
    <w:rsid w:val="003E0A83"/>
    <w:rsid w:val="003E6222"/>
    <w:rsid w:val="003E68A1"/>
    <w:rsid w:val="003E7815"/>
    <w:rsid w:val="003F1021"/>
    <w:rsid w:val="00404BC2"/>
    <w:rsid w:val="0040500A"/>
    <w:rsid w:val="0040504F"/>
    <w:rsid w:val="004137EA"/>
    <w:rsid w:val="00415E83"/>
    <w:rsid w:val="00421563"/>
    <w:rsid w:val="0042317E"/>
    <w:rsid w:val="004325FA"/>
    <w:rsid w:val="0043268A"/>
    <w:rsid w:val="00432D0F"/>
    <w:rsid w:val="00442E9E"/>
    <w:rsid w:val="00443AC5"/>
    <w:rsid w:val="0044413A"/>
    <w:rsid w:val="00444842"/>
    <w:rsid w:val="0044712B"/>
    <w:rsid w:val="004472A2"/>
    <w:rsid w:val="00447484"/>
    <w:rsid w:val="00450080"/>
    <w:rsid w:val="004520EA"/>
    <w:rsid w:val="004531A0"/>
    <w:rsid w:val="004547A9"/>
    <w:rsid w:val="004551EA"/>
    <w:rsid w:val="004637B4"/>
    <w:rsid w:val="004647F0"/>
    <w:rsid w:val="004712B9"/>
    <w:rsid w:val="004722BC"/>
    <w:rsid w:val="004726DC"/>
    <w:rsid w:val="00473082"/>
    <w:rsid w:val="00474238"/>
    <w:rsid w:val="00475700"/>
    <w:rsid w:val="004862E9"/>
    <w:rsid w:val="0048738E"/>
    <w:rsid w:val="0049005E"/>
    <w:rsid w:val="00497043"/>
    <w:rsid w:val="004A571F"/>
    <w:rsid w:val="004B00FD"/>
    <w:rsid w:val="004B46E5"/>
    <w:rsid w:val="004B5D44"/>
    <w:rsid w:val="004C1BC7"/>
    <w:rsid w:val="004C32D0"/>
    <w:rsid w:val="004D717F"/>
    <w:rsid w:val="004E1CD5"/>
    <w:rsid w:val="004E2583"/>
    <w:rsid w:val="004E2789"/>
    <w:rsid w:val="004E294C"/>
    <w:rsid w:val="004E4634"/>
    <w:rsid w:val="004E6078"/>
    <w:rsid w:val="004F0269"/>
    <w:rsid w:val="004F03E9"/>
    <w:rsid w:val="004F1C1A"/>
    <w:rsid w:val="004F23AE"/>
    <w:rsid w:val="004F365F"/>
    <w:rsid w:val="004F5D93"/>
    <w:rsid w:val="004F690F"/>
    <w:rsid w:val="004F6B76"/>
    <w:rsid w:val="005013C9"/>
    <w:rsid w:val="00506426"/>
    <w:rsid w:val="0051103F"/>
    <w:rsid w:val="005132E5"/>
    <w:rsid w:val="00514592"/>
    <w:rsid w:val="0051660B"/>
    <w:rsid w:val="005204B4"/>
    <w:rsid w:val="00521C4A"/>
    <w:rsid w:val="005263E8"/>
    <w:rsid w:val="00531E58"/>
    <w:rsid w:val="00533ECE"/>
    <w:rsid w:val="0053444D"/>
    <w:rsid w:val="00537882"/>
    <w:rsid w:val="0054165C"/>
    <w:rsid w:val="00541C01"/>
    <w:rsid w:val="0054267D"/>
    <w:rsid w:val="00545323"/>
    <w:rsid w:val="00554405"/>
    <w:rsid w:val="00554AC0"/>
    <w:rsid w:val="005574BC"/>
    <w:rsid w:val="00557CF5"/>
    <w:rsid w:val="00560B3E"/>
    <w:rsid w:val="00560C28"/>
    <w:rsid w:val="00563832"/>
    <w:rsid w:val="0056542E"/>
    <w:rsid w:val="00566B3B"/>
    <w:rsid w:val="00576317"/>
    <w:rsid w:val="00576BD4"/>
    <w:rsid w:val="00582DDD"/>
    <w:rsid w:val="00584C29"/>
    <w:rsid w:val="005935FD"/>
    <w:rsid w:val="005A1139"/>
    <w:rsid w:val="005A6C1B"/>
    <w:rsid w:val="005B0FF9"/>
    <w:rsid w:val="005B1B2B"/>
    <w:rsid w:val="005C23A2"/>
    <w:rsid w:val="005C348F"/>
    <w:rsid w:val="005C57F3"/>
    <w:rsid w:val="005D62B6"/>
    <w:rsid w:val="005D6527"/>
    <w:rsid w:val="005D6C77"/>
    <w:rsid w:val="005E038B"/>
    <w:rsid w:val="005E4B8E"/>
    <w:rsid w:val="005E784B"/>
    <w:rsid w:val="005E7F7A"/>
    <w:rsid w:val="005F23D8"/>
    <w:rsid w:val="005F39E8"/>
    <w:rsid w:val="00602AAF"/>
    <w:rsid w:val="006132F2"/>
    <w:rsid w:val="00614053"/>
    <w:rsid w:val="0062188E"/>
    <w:rsid w:val="00624FF5"/>
    <w:rsid w:val="00634598"/>
    <w:rsid w:val="0063601E"/>
    <w:rsid w:val="00637E83"/>
    <w:rsid w:val="00637F8E"/>
    <w:rsid w:val="006446E7"/>
    <w:rsid w:val="0064498D"/>
    <w:rsid w:val="00647418"/>
    <w:rsid w:val="00647F91"/>
    <w:rsid w:val="00651B64"/>
    <w:rsid w:val="006539E3"/>
    <w:rsid w:val="0066348D"/>
    <w:rsid w:val="00666AD3"/>
    <w:rsid w:val="0067018B"/>
    <w:rsid w:val="00675128"/>
    <w:rsid w:val="00676EFF"/>
    <w:rsid w:val="00677C59"/>
    <w:rsid w:val="00680BC5"/>
    <w:rsid w:val="00683AE6"/>
    <w:rsid w:val="00683EB8"/>
    <w:rsid w:val="0068569B"/>
    <w:rsid w:val="006916CD"/>
    <w:rsid w:val="0069365B"/>
    <w:rsid w:val="00693CB5"/>
    <w:rsid w:val="006953A7"/>
    <w:rsid w:val="006A201B"/>
    <w:rsid w:val="006A3218"/>
    <w:rsid w:val="006A490F"/>
    <w:rsid w:val="006B04D3"/>
    <w:rsid w:val="006B0DE9"/>
    <w:rsid w:val="006B17F6"/>
    <w:rsid w:val="006B45F5"/>
    <w:rsid w:val="006B781D"/>
    <w:rsid w:val="006B7D80"/>
    <w:rsid w:val="006C36E9"/>
    <w:rsid w:val="006C5EF2"/>
    <w:rsid w:val="006C633E"/>
    <w:rsid w:val="006D013D"/>
    <w:rsid w:val="006D438F"/>
    <w:rsid w:val="006E0125"/>
    <w:rsid w:val="006E6E34"/>
    <w:rsid w:val="006F175A"/>
    <w:rsid w:val="006F3AD5"/>
    <w:rsid w:val="006F73B3"/>
    <w:rsid w:val="00700510"/>
    <w:rsid w:val="00706A56"/>
    <w:rsid w:val="00706F26"/>
    <w:rsid w:val="00707164"/>
    <w:rsid w:val="00714FD2"/>
    <w:rsid w:val="007204F6"/>
    <w:rsid w:val="00731100"/>
    <w:rsid w:val="007328B7"/>
    <w:rsid w:val="007331B0"/>
    <w:rsid w:val="0073353F"/>
    <w:rsid w:val="00733651"/>
    <w:rsid w:val="0073767F"/>
    <w:rsid w:val="00742567"/>
    <w:rsid w:val="00742778"/>
    <w:rsid w:val="007451AA"/>
    <w:rsid w:val="00745BA1"/>
    <w:rsid w:val="00745E26"/>
    <w:rsid w:val="00751762"/>
    <w:rsid w:val="00752E84"/>
    <w:rsid w:val="007535B9"/>
    <w:rsid w:val="00757508"/>
    <w:rsid w:val="00762C17"/>
    <w:rsid w:val="00762EE9"/>
    <w:rsid w:val="00763A5E"/>
    <w:rsid w:val="00765ED1"/>
    <w:rsid w:val="00765FF0"/>
    <w:rsid w:val="00766D70"/>
    <w:rsid w:val="0077077C"/>
    <w:rsid w:val="007730CA"/>
    <w:rsid w:val="00773EF5"/>
    <w:rsid w:val="0077443A"/>
    <w:rsid w:val="007767F6"/>
    <w:rsid w:val="00783A58"/>
    <w:rsid w:val="00783FD7"/>
    <w:rsid w:val="00785F95"/>
    <w:rsid w:val="007916CB"/>
    <w:rsid w:val="007917F4"/>
    <w:rsid w:val="007933D2"/>
    <w:rsid w:val="007A645B"/>
    <w:rsid w:val="007A78F9"/>
    <w:rsid w:val="007A7BE6"/>
    <w:rsid w:val="007B1F90"/>
    <w:rsid w:val="007B4CB8"/>
    <w:rsid w:val="007B7837"/>
    <w:rsid w:val="007B7882"/>
    <w:rsid w:val="007C03E4"/>
    <w:rsid w:val="007C5CA0"/>
    <w:rsid w:val="007C6A96"/>
    <w:rsid w:val="007D0815"/>
    <w:rsid w:val="007D5F1E"/>
    <w:rsid w:val="007D77AB"/>
    <w:rsid w:val="007E2EAD"/>
    <w:rsid w:val="007E52CD"/>
    <w:rsid w:val="007E6907"/>
    <w:rsid w:val="007E6EF2"/>
    <w:rsid w:val="007E76C0"/>
    <w:rsid w:val="007F09A1"/>
    <w:rsid w:val="007F2210"/>
    <w:rsid w:val="007F3337"/>
    <w:rsid w:val="007F3E6A"/>
    <w:rsid w:val="007F4B78"/>
    <w:rsid w:val="007F5190"/>
    <w:rsid w:val="007F53CC"/>
    <w:rsid w:val="007F6D4E"/>
    <w:rsid w:val="007F7476"/>
    <w:rsid w:val="007F7E9A"/>
    <w:rsid w:val="00803BF3"/>
    <w:rsid w:val="008050E2"/>
    <w:rsid w:val="00805A3A"/>
    <w:rsid w:val="00811671"/>
    <w:rsid w:val="0081654B"/>
    <w:rsid w:val="00823874"/>
    <w:rsid w:val="00825D0B"/>
    <w:rsid w:val="008265CE"/>
    <w:rsid w:val="0083123E"/>
    <w:rsid w:val="00832DCF"/>
    <w:rsid w:val="00834EAF"/>
    <w:rsid w:val="008363C0"/>
    <w:rsid w:val="00841466"/>
    <w:rsid w:val="008441B4"/>
    <w:rsid w:val="00845DAC"/>
    <w:rsid w:val="0085182D"/>
    <w:rsid w:val="00852D45"/>
    <w:rsid w:val="00856608"/>
    <w:rsid w:val="0086175B"/>
    <w:rsid w:val="00862AEF"/>
    <w:rsid w:val="0087185A"/>
    <w:rsid w:val="008732C7"/>
    <w:rsid w:val="0087419F"/>
    <w:rsid w:val="00877BF0"/>
    <w:rsid w:val="00884667"/>
    <w:rsid w:val="00885C7E"/>
    <w:rsid w:val="00885D64"/>
    <w:rsid w:val="008918AF"/>
    <w:rsid w:val="00893C0D"/>
    <w:rsid w:val="00894834"/>
    <w:rsid w:val="008977FA"/>
    <w:rsid w:val="008A1831"/>
    <w:rsid w:val="008A7A9A"/>
    <w:rsid w:val="008A7C3F"/>
    <w:rsid w:val="008B09EA"/>
    <w:rsid w:val="008B0D11"/>
    <w:rsid w:val="008B34DC"/>
    <w:rsid w:val="008B4CBD"/>
    <w:rsid w:val="008B5D9B"/>
    <w:rsid w:val="008B68E6"/>
    <w:rsid w:val="008B74F2"/>
    <w:rsid w:val="008C25B6"/>
    <w:rsid w:val="008C356B"/>
    <w:rsid w:val="008C3A31"/>
    <w:rsid w:val="008C3F2F"/>
    <w:rsid w:val="008C7E13"/>
    <w:rsid w:val="008D201D"/>
    <w:rsid w:val="008D43B9"/>
    <w:rsid w:val="008D440D"/>
    <w:rsid w:val="008D70AA"/>
    <w:rsid w:val="008E0843"/>
    <w:rsid w:val="008E1175"/>
    <w:rsid w:val="008E20EA"/>
    <w:rsid w:val="008E2A96"/>
    <w:rsid w:val="008F4BE3"/>
    <w:rsid w:val="008F4C6B"/>
    <w:rsid w:val="008F7623"/>
    <w:rsid w:val="009103D0"/>
    <w:rsid w:val="00910C1D"/>
    <w:rsid w:val="0091125F"/>
    <w:rsid w:val="00911EAC"/>
    <w:rsid w:val="009150CC"/>
    <w:rsid w:val="00916A9E"/>
    <w:rsid w:val="0091726C"/>
    <w:rsid w:val="00920C9F"/>
    <w:rsid w:val="00922EA4"/>
    <w:rsid w:val="009235E8"/>
    <w:rsid w:val="00923998"/>
    <w:rsid w:val="00924BF0"/>
    <w:rsid w:val="00927F24"/>
    <w:rsid w:val="009334C7"/>
    <w:rsid w:val="00934C9D"/>
    <w:rsid w:val="00935041"/>
    <w:rsid w:val="009352B5"/>
    <w:rsid w:val="0093596F"/>
    <w:rsid w:val="00940C96"/>
    <w:rsid w:val="00942424"/>
    <w:rsid w:val="009438CB"/>
    <w:rsid w:val="00944A56"/>
    <w:rsid w:val="00953FBC"/>
    <w:rsid w:val="00967F3F"/>
    <w:rsid w:val="00976044"/>
    <w:rsid w:val="00982C06"/>
    <w:rsid w:val="00984183"/>
    <w:rsid w:val="00986453"/>
    <w:rsid w:val="00991691"/>
    <w:rsid w:val="00995F2C"/>
    <w:rsid w:val="009974FB"/>
    <w:rsid w:val="009A18C4"/>
    <w:rsid w:val="009A27D8"/>
    <w:rsid w:val="009B0AE0"/>
    <w:rsid w:val="009B27D5"/>
    <w:rsid w:val="009B469B"/>
    <w:rsid w:val="009B7846"/>
    <w:rsid w:val="009C0340"/>
    <w:rsid w:val="009C2DE6"/>
    <w:rsid w:val="009C5141"/>
    <w:rsid w:val="009D4E1A"/>
    <w:rsid w:val="009D74B7"/>
    <w:rsid w:val="009E7C12"/>
    <w:rsid w:val="009F0C26"/>
    <w:rsid w:val="009F5792"/>
    <w:rsid w:val="00A00758"/>
    <w:rsid w:val="00A02A33"/>
    <w:rsid w:val="00A0436B"/>
    <w:rsid w:val="00A0495D"/>
    <w:rsid w:val="00A04AAE"/>
    <w:rsid w:val="00A0642B"/>
    <w:rsid w:val="00A20C87"/>
    <w:rsid w:val="00A211EC"/>
    <w:rsid w:val="00A2362D"/>
    <w:rsid w:val="00A32254"/>
    <w:rsid w:val="00A3271D"/>
    <w:rsid w:val="00A35F24"/>
    <w:rsid w:val="00A37A1C"/>
    <w:rsid w:val="00A428F4"/>
    <w:rsid w:val="00A50EFF"/>
    <w:rsid w:val="00A529AC"/>
    <w:rsid w:val="00A537AA"/>
    <w:rsid w:val="00A549D2"/>
    <w:rsid w:val="00A56179"/>
    <w:rsid w:val="00A56E3B"/>
    <w:rsid w:val="00A63086"/>
    <w:rsid w:val="00A63700"/>
    <w:rsid w:val="00A83199"/>
    <w:rsid w:val="00A84488"/>
    <w:rsid w:val="00A875F9"/>
    <w:rsid w:val="00A90F21"/>
    <w:rsid w:val="00A96BAD"/>
    <w:rsid w:val="00AA05B8"/>
    <w:rsid w:val="00AA2752"/>
    <w:rsid w:val="00AA2987"/>
    <w:rsid w:val="00AA6917"/>
    <w:rsid w:val="00AB18B7"/>
    <w:rsid w:val="00AB1C8D"/>
    <w:rsid w:val="00AB59A4"/>
    <w:rsid w:val="00AC00D5"/>
    <w:rsid w:val="00AC25D2"/>
    <w:rsid w:val="00AC2E8F"/>
    <w:rsid w:val="00AC350D"/>
    <w:rsid w:val="00AC43AA"/>
    <w:rsid w:val="00AC5B28"/>
    <w:rsid w:val="00AD0A5E"/>
    <w:rsid w:val="00AD1A34"/>
    <w:rsid w:val="00AE6CC3"/>
    <w:rsid w:val="00AE7C34"/>
    <w:rsid w:val="00AF4A8A"/>
    <w:rsid w:val="00AF646F"/>
    <w:rsid w:val="00B014FA"/>
    <w:rsid w:val="00B07569"/>
    <w:rsid w:val="00B0799D"/>
    <w:rsid w:val="00B11A98"/>
    <w:rsid w:val="00B14880"/>
    <w:rsid w:val="00B14F13"/>
    <w:rsid w:val="00B15FE4"/>
    <w:rsid w:val="00B16C8E"/>
    <w:rsid w:val="00B214B4"/>
    <w:rsid w:val="00B2155A"/>
    <w:rsid w:val="00B35A8C"/>
    <w:rsid w:val="00B36017"/>
    <w:rsid w:val="00B36215"/>
    <w:rsid w:val="00B43BB9"/>
    <w:rsid w:val="00B47BB2"/>
    <w:rsid w:val="00B602DD"/>
    <w:rsid w:val="00B621B0"/>
    <w:rsid w:val="00B62897"/>
    <w:rsid w:val="00B64A10"/>
    <w:rsid w:val="00B66452"/>
    <w:rsid w:val="00B66E82"/>
    <w:rsid w:val="00B67C1E"/>
    <w:rsid w:val="00B70EA1"/>
    <w:rsid w:val="00B7545C"/>
    <w:rsid w:val="00B75497"/>
    <w:rsid w:val="00B754FA"/>
    <w:rsid w:val="00B809B1"/>
    <w:rsid w:val="00B84DD8"/>
    <w:rsid w:val="00B861DA"/>
    <w:rsid w:val="00B873C3"/>
    <w:rsid w:val="00B87C02"/>
    <w:rsid w:val="00B916BA"/>
    <w:rsid w:val="00B929BF"/>
    <w:rsid w:val="00BB0FA1"/>
    <w:rsid w:val="00BB4286"/>
    <w:rsid w:val="00BB49CB"/>
    <w:rsid w:val="00BB6A6C"/>
    <w:rsid w:val="00BB751A"/>
    <w:rsid w:val="00BB75F4"/>
    <w:rsid w:val="00BC3847"/>
    <w:rsid w:val="00BC40B5"/>
    <w:rsid w:val="00BC6B76"/>
    <w:rsid w:val="00BD036C"/>
    <w:rsid w:val="00BD0C7B"/>
    <w:rsid w:val="00BD1EF9"/>
    <w:rsid w:val="00BD27B2"/>
    <w:rsid w:val="00BD6260"/>
    <w:rsid w:val="00BE0002"/>
    <w:rsid w:val="00BE4D90"/>
    <w:rsid w:val="00BE7520"/>
    <w:rsid w:val="00BE7738"/>
    <w:rsid w:val="00BF042D"/>
    <w:rsid w:val="00BF1ECA"/>
    <w:rsid w:val="00BF30A6"/>
    <w:rsid w:val="00C00613"/>
    <w:rsid w:val="00C10E14"/>
    <w:rsid w:val="00C13E0A"/>
    <w:rsid w:val="00C1616C"/>
    <w:rsid w:val="00C23AEF"/>
    <w:rsid w:val="00C25AE1"/>
    <w:rsid w:val="00C26141"/>
    <w:rsid w:val="00C35331"/>
    <w:rsid w:val="00C373DD"/>
    <w:rsid w:val="00C42517"/>
    <w:rsid w:val="00C5134A"/>
    <w:rsid w:val="00C51941"/>
    <w:rsid w:val="00C52B80"/>
    <w:rsid w:val="00C53FDB"/>
    <w:rsid w:val="00C54E58"/>
    <w:rsid w:val="00C6768E"/>
    <w:rsid w:val="00C67B9B"/>
    <w:rsid w:val="00C723CF"/>
    <w:rsid w:val="00C9385B"/>
    <w:rsid w:val="00C95E10"/>
    <w:rsid w:val="00C96D72"/>
    <w:rsid w:val="00CA4BA2"/>
    <w:rsid w:val="00CA7C85"/>
    <w:rsid w:val="00CB01DA"/>
    <w:rsid w:val="00CB4793"/>
    <w:rsid w:val="00CC1082"/>
    <w:rsid w:val="00CC16C2"/>
    <w:rsid w:val="00CC1B79"/>
    <w:rsid w:val="00CC2723"/>
    <w:rsid w:val="00CC627E"/>
    <w:rsid w:val="00CD5A57"/>
    <w:rsid w:val="00CD701A"/>
    <w:rsid w:val="00CD7652"/>
    <w:rsid w:val="00CE2CCC"/>
    <w:rsid w:val="00CE3B00"/>
    <w:rsid w:val="00CE4084"/>
    <w:rsid w:val="00CE71FB"/>
    <w:rsid w:val="00CF3C2E"/>
    <w:rsid w:val="00D032E4"/>
    <w:rsid w:val="00D144D8"/>
    <w:rsid w:val="00D1463D"/>
    <w:rsid w:val="00D203C6"/>
    <w:rsid w:val="00D24205"/>
    <w:rsid w:val="00D24AD2"/>
    <w:rsid w:val="00D2777B"/>
    <w:rsid w:val="00D3099C"/>
    <w:rsid w:val="00D36E9C"/>
    <w:rsid w:val="00D42B04"/>
    <w:rsid w:val="00D464EC"/>
    <w:rsid w:val="00D55A6C"/>
    <w:rsid w:val="00D57AA1"/>
    <w:rsid w:val="00D604B8"/>
    <w:rsid w:val="00D64D04"/>
    <w:rsid w:val="00D657AF"/>
    <w:rsid w:val="00D6592F"/>
    <w:rsid w:val="00D73FF8"/>
    <w:rsid w:val="00D85683"/>
    <w:rsid w:val="00D86C46"/>
    <w:rsid w:val="00D9039C"/>
    <w:rsid w:val="00D91905"/>
    <w:rsid w:val="00D92340"/>
    <w:rsid w:val="00D928C0"/>
    <w:rsid w:val="00D95924"/>
    <w:rsid w:val="00D96818"/>
    <w:rsid w:val="00DA50D2"/>
    <w:rsid w:val="00DB12BB"/>
    <w:rsid w:val="00DB1C92"/>
    <w:rsid w:val="00DB252D"/>
    <w:rsid w:val="00DB267D"/>
    <w:rsid w:val="00DC1071"/>
    <w:rsid w:val="00DC3023"/>
    <w:rsid w:val="00DC4A27"/>
    <w:rsid w:val="00DC4AE5"/>
    <w:rsid w:val="00DC5003"/>
    <w:rsid w:val="00DC501A"/>
    <w:rsid w:val="00DC5EEB"/>
    <w:rsid w:val="00DD2CED"/>
    <w:rsid w:val="00DD544F"/>
    <w:rsid w:val="00DE43E6"/>
    <w:rsid w:val="00DF26B5"/>
    <w:rsid w:val="00E014EF"/>
    <w:rsid w:val="00E03DAB"/>
    <w:rsid w:val="00E1027F"/>
    <w:rsid w:val="00E11556"/>
    <w:rsid w:val="00E13ED1"/>
    <w:rsid w:val="00E14768"/>
    <w:rsid w:val="00E15E5E"/>
    <w:rsid w:val="00E1756D"/>
    <w:rsid w:val="00E26A24"/>
    <w:rsid w:val="00E35123"/>
    <w:rsid w:val="00E443CD"/>
    <w:rsid w:val="00E46A03"/>
    <w:rsid w:val="00E54D88"/>
    <w:rsid w:val="00E60ACA"/>
    <w:rsid w:val="00E714A2"/>
    <w:rsid w:val="00E718E1"/>
    <w:rsid w:val="00E72C36"/>
    <w:rsid w:val="00E74B2E"/>
    <w:rsid w:val="00E7664F"/>
    <w:rsid w:val="00E7732A"/>
    <w:rsid w:val="00E8763A"/>
    <w:rsid w:val="00E943C1"/>
    <w:rsid w:val="00E96186"/>
    <w:rsid w:val="00E9751E"/>
    <w:rsid w:val="00EA0B63"/>
    <w:rsid w:val="00EA37EF"/>
    <w:rsid w:val="00EA7302"/>
    <w:rsid w:val="00EB79D6"/>
    <w:rsid w:val="00EC21D1"/>
    <w:rsid w:val="00EC2656"/>
    <w:rsid w:val="00EC318B"/>
    <w:rsid w:val="00ED4752"/>
    <w:rsid w:val="00EE2EE1"/>
    <w:rsid w:val="00EE307F"/>
    <w:rsid w:val="00EE4543"/>
    <w:rsid w:val="00EE4E3F"/>
    <w:rsid w:val="00EE65EF"/>
    <w:rsid w:val="00EF16B6"/>
    <w:rsid w:val="00EF2157"/>
    <w:rsid w:val="00EF36F3"/>
    <w:rsid w:val="00EF54A7"/>
    <w:rsid w:val="00F00FD9"/>
    <w:rsid w:val="00F022FA"/>
    <w:rsid w:val="00F03631"/>
    <w:rsid w:val="00F0391D"/>
    <w:rsid w:val="00F13783"/>
    <w:rsid w:val="00F207F6"/>
    <w:rsid w:val="00F25220"/>
    <w:rsid w:val="00F25F6E"/>
    <w:rsid w:val="00F27462"/>
    <w:rsid w:val="00F30BEC"/>
    <w:rsid w:val="00F35477"/>
    <w:rsid w:val="00F35A2D"/>
    <w:rsid w:val="00F41A84"/>
    <w:rsid w:val="00F4232E"/>
    <w:rsid w:val="00F44EA9"/>
    <w:rsid w:val="00F451D8"/>
    <w:rsid w:val="00F4603D"/>
    <w:rsid w:val="00F50117"/>
    <w:rsid w:val="00F50C66"/>
    <w:rsid w:val="00F52B66"/>
    <w:rsid w:val="00F56371"/>
    <w:rsid w:val="00F6360E"/>
    <w:rsid w:val="00F67479"/>
    <w:rsid w:val="00F70D01"/>
    <w:rsid w:val="00F771AD"/>
    <w:rsid w:val="00F8121D"/>
    <w:rsid w:val="00F8236B"/>
    <w:rsid w:val="00F82DDA"/>
    <w:rsid w:val="00F8358F"/>
    <w:rsid w:val="00F91D14"/>
    <w:rsid w:val="00F92C82"/>
    <w:rsid w:val="00F957C6"/>
    <w:rsid w:val="00FA06CE"/>
    <w:rsid w:val="00FA29F1"/>
    <w:rsid w:val="00FA2EC0"/>
    <w:rsid w:val="00FA7B85"/>
    <w:rsid w:val="00FB4BFA"/>
    <w:rsid w:val="00FB62A4"/>
    <w:rsid w:val="00FC3F94"/>
    <w:rsid w:val="00FC5806"/>
    <w:rsid w:val="00FC5F0E"/>
    <w:rsid w:val="00FC7A51"/>
    <w:rsid w:val="00FD11AA"/>
    <w:rsid w:val="00FD4E6B"/>
    <w:rsid w:val="00FE0E5D"/>
    <w:rsid w:val="00FE1ABE"/>
    <w:rsid w:val="00FE1B61"/>
    <w:rsid w:val="00FE2254"/>
    <w:rsid w:val="00FE22A4"/>
    <w:rsid w:val="00FE2511"/>
    <w:rsid w:val="00FE456D"/>
    <w:rsid w:val="00FE60D1"/>
    <w:rsid w:val="00FE73F1"/>
    <w:rsid w:val="00FE790C"/>
    <w:rsid w:val="00FF5E4B"/>
    <w:rsid w:val="00FF6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white">
      <v:fill color="white"/>
      <v:textbox style="mso-fit-shape-to-text:t"/>
    </o:shapedefaults>
    <o:shapelayout v:ext="edit">
      <o:idmap v:ext="edit" data="2"/>
    </o:shapelayout>
  </w:shapeDefaults>
  <w:decimalSymbol w:val="."/>
  <w:listSeparator w:val=","/>
  <w14:docId w14:val="0DAF0E1E"/>
  <w15:docId w15:val="{BA72ADF2-F6CA-4BBB-9C06-5178CFC8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95"/>
  </w:style>
  <w:style w:type="paragraph" w:styleId="Heading1">
    <w:name w:val="heading 1"/>
    <w:basedOn w:val="Normal"/>
    <w:next w:val="Normal"/>
    <w:link w:val="Heading1Char"/>
    <w:uiPriority w:val="9"/>
    <w:qFormat/>
    <w:rsid w:val="00576BD4"/>
    <w:pPr>
      <w:keepNext/>
      <w:keepLines/>
      <w:tabs>
        <w:tab w:val="left" w:pos="851"/>
      </w:tabs>
      <w:spacing w:after="0" w:line="240" w:lineRule="auto"/>
      <w:ind w:left="720"/>
      <w:jc w:val="both"/>
      <w:outlineLvl w:val="0"/>
    </w:pPr>
    <w:rPr>
      <w:rFonts w:ascii="Times New Roman" w:eastAsia="Proxima Nova" w:hAnsi="Times New Roman" w:cs="Proxima Nova"/>
      <w:b/>
      <w:sz w:val="24"/>
      <w:szCs w:val="32"/>
      <w:lang w:val="en"/>
    </w:rPr>
  </w:style>
  <w:style w:type="paragraph" w:styleId="Heading2">
    <w:name w:val="heading 2"/>
    <w:basedOn w:val="Normal"/>
    <w:next w:val="Normal"/>
    <w:link w:val="Heading2Char"/>
    <w:uiPriority w:val="9"/>
    <w:unhideWhenUsed/>
    <w:qFormat/>
    <w:rsid w:val="00C23A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EF"/>
    <w:rPr>
      <w:lang w:val="en-GB"/>
    </w:rPr>
  </w:style>
  <w:style w:type="paragraph" w:styleId="Footer">
    <w:name w:val="footer"/>
    <w:basedOn w:val="Normal"/>
    <w:link w:val="FooterChar"/>
    <w:uiPriority w:val="99"/>
    <w:unhideWhenUsed/>
    <w:rsid w:val="002A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EF"/>
    <w:rPr>
      <w:lang w:val="en-GB"/>
    </w:rPr>
  </w:style>
  <w:style w:type="paragraph" w:styleId="BalloonText">
    <w:name w:val="Balloon Text"/>
    <w:basedOn w:val="Normal"/>
    <w:link w:val="BalloonTextChar"/>
    <w:uiPriority w:val="99"/>
    <w:semiHidden/>
    <w:unhideWhenUsed/>
    <w:rsid w:val="002A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EF"/>
    <w:rPr>
      <w:rFonts w:ascii="Tahoma" w:hAnsi="Tahoma" w:cs="Tahoma"/>
      <w:sz w:val="16"/>
      <w:szCs w:val="16"/>
      <w:lang w:val="en-GB"/>
    </w:rPr>
  </w:style>
  <w:style w:type="table" w:styleId="TableGrid">
    <w:name w:val="Table Grid"/>
    <w:basedOn w:val="TableNormal"/>
    <w:uiPriority w:val="39"/>
    <w:rsid w:val="00C25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0C87"/>
    <w:rPr>
      <w:color w:val="0000FF" w:themeColor="hyperlink"/>
      <w:u w:val="single"/>
    </w:rPr>
  </w:style>
  <w:style w:type="paragraph" w:styleId="ListParagraph">
    <w:name w:val="List Paragraph"/>
    <w:aliases w:val="lp1,Text,Citation List,References,سرد الفقرات,List Paragraph2,Akapit z listą BS,Numbered List Paragraph,List Bullet Mary,Bullet paras,Heading 1.1,List Paragraph (numbered (a)),Use Case List Paragraph,Bullets,ANNEX,List Paragraph1,Liste 1"/>
    <w:basedOn w:val="Normal"/>
    <w:link w:val="ListParagraphChar"/>
    <w:uiPriority w:val="34"/>
    <w:qFormat/>
    <w:rsid w:val="00C6768E"/>
    <w:pPr>
      <w:ind w:left="720"/>
      <w:contextualSpacing/>
    </w:pPr>
  </w:style>
  <w:style w:type="character" w:customStyle="1" w:styleId="ListParagraphChar">
    <w:name w:val="List Paragraph Char"/>
    <w:aliases w:val="lp1 Char,Text Char,Citation List Char,References Char,سرد الفقرات Char,List Paragraph2 Char,Akapit z listą BS Char,Numbered List Paragraph Char,List Bullet Mary Char,Bullet paras Char,Heading 1.1 Char,Use Case List Paragraph Char"/>
    <w:basedOn w:val="DefaultParagraphFont"/>
    <w:link w:val="ListParagraph"/>
    <w:uiPriority w:val="34"/>
    <w:qFormat/>
    <w:rsid w:val="00C6768E"/>
  </w:style>
  <w:style w:type="character" w:customStyle="1" w:styleId="changecolor">
    <w:name w:val="changecolor"/>
    <w:basedOn w:val="DefaultParagraphFont"/>
    <w:rsid w:val="001D7B98"/>
  </w:style>
  <w:style w:type="character" w:customStyle="1" w:styleId="apple-converted-space">
    <w:name w:val="apple-converted-space"/>
    <w:basedOn w:val="DefaultParagraphFont"/>
    <w:rsid w:val="00BD036C"/>
  </w:style>
  <w:style w:type="character" w:styleId="FollowedHyperlink">
    <w:name w:val="FollowedHyperlink"/>
    <w:basedOn w:val="DefaultParagraphFont"/>
    <w:uiPriority w:val="99"/>
    <w:semiHidden/>
    <w:unhideWhenUsed/>
    <w:rsid w:val="009F0C26"/>
    <w:rPr>
      <w:color w:val="800080" w:themeColor="followedHyperlink"/>
      <w:u w:val="single"/>
    </w:rPr>
  </w:style>
  <w:style w:type="character" w:customStyle="1" w:styleId="Heading1Char">
    <w:name w:val="Heading 1 Char"/>
    <w:basedOn w:val="DefaultParagraphFont"/>
    <w:link w:val="Heading1"/>
    <w:uiPriority w:val="9"/>
    <w:rsid w:val="00576BD4"/>
    <w:rPr>
      <w:rFonts w:ascii="Times New Roman" w:eastAsia="Proxima Nova" w:hAnsi="Times New Roman" w:cs="Proxima Nova"/>
      <w:b/>
      <w:sz w:val="24"/>
      <w:szCs w:val="32"/>
      <w:lang w:val="en"/>
    </w:rPr>
  </w:style>
  <w:style w:type="paragraph" w:styleId="Title">
    <w:name w:val="Title"/>
    <w:basedOn w:val="Normal"/>
    <w:next w:val="Normal"/>
    <w:link w:val="TitleChar"/>
    <w:uiPriority w:val="10"/>
    <w:qFormat/>
    <w:rsid w:val="00576BD4"/>
    <w:pPr>
      <w:keepNext/>
      <w:keepLines/>
      <w:tabs>
        <w:tab w:val="left" w:pos="851"/>
      </w:tabs>
      <w:spacing w:after="0" w:line="240" w:lineRule="auto"/>
    </w:pPr>
    <w:rPr>
      <w:rFonts w:ascii="Open Sans" w:eastAsia="Open Sans" w:hAnsi="Open Sans" w:cs="Open Sans"/>
      <w:b/>
      <w:sz w:val="44"/>
      <w:szCs w:val="44"/>
      <w:lang w:val="en"/>
    </w:rPr>
  </w:style>
  <w:style w:type="character" w:customStyle="1" w:styleId="TitleChar">
    <w:name w:val="Title Char"/>
    <w:basedOn w:val="DefaultParagraphFont"/>
    <w:link w:val="Title"/>
    <w:uiPriority w:val="10"/>
    <w:rsid w:val="00576BD4"/>
    <w:rPr>
      <w:rFonts w:ascii="Open Sans" w:eastAsia="Open Sans" w:hAnsi="Open Sans" w:cs="Open Sans"/>
      <w:b/>
      <w:sz w:val="44"/>
      <w:szCs w:val="44"/>
      <w:lang w:val="en"/>
    </w:rPr>
  </w:style>
  <w:style w:type="paragraph" w:styleId="FootnoteText">
    <w:name w:val="footnote text"/>
    <w:aliases w:val="(NECG) Footnote Text Char Char Char,Boston 10,Char,FN,FOOTNOTES,Font: Geneva 9,Footnote,Footnote Text Char Char Char Char Char,Footnote Text Char Char Char Char Char Char,Fußnote,Geneva 9,f,fn,foot note text,footnote text,ft,single space"/>
    <w:basedOn w:val="Normal"/>
    <w:link w:val="FootnoteTextChar"/>
    <w:uiPriority w:val="99"/>
    <w:unhideWhenUsed/>
    <w:qFormat/>
    <w:rsid w:val="00576BD4"/>
    <w:pPr>
      <w:spacing w:after="0" w:line="240" w:lineRule="auto"/>
    </w:pPr>
    <w:rPr>
      <w:rFonts w:eastAsiaTheme="minorHAnsi"/>
      <w:sz w:val="24"/>
      <w:szCs w:val="24"/>
    </w:rPr>
  </w:style>
  <w:style w:type="character" w:customStyle="1" w:styleId="FootnoteTextChar">
    <w:name w:val="Footnote Text Char"/>
    <w:aliases w:val="(NECG) Footnote Text Char Char Char Char,Boston 10 Char,Char Char,FN Char,FOOTNOTES Char,Font: Geneva 9 Char,Footnote Char,Footnote Text Char Char Char Char Char Char1,Footnote Text Char Char Char Char Char Char Char,Fußnote Char"/>
    <w:basedOn w:val="DefaultParagraphFont"/>
    <w:link w:val="FootnoteText"/>
    <w:uiPriority w:val="99"/>
    <w:qFormat/>
    <w:rsid w:val="00576BD4"/>
    <w:rPr>
      <w:rFonts w:eastAsiaTheme="minorHAnsi"/>
      <w:sz w:val="24"/>
      <w:szCs w:val="24"/>
    </w:rPr>
  </w:style>
  <w:style w:type="character" w:styleId="FootnoteReference">
    <w:name w:val="footnote reference"/>
    <w:aliases w:val="(NECG) Footnote Reference,16 Point,E FNZ,EN Footnote Reference,Footnote Reference Number,Footnote Reference1,Footnote text,Footnote#,Ref,SUPERS,Style 6,Superscript 6 Point,de nota al pie,footnote ref,fr,ftref,referencia nota al pie,Re"/>
    <w:basedOn w:val="DefaultParagraphFont"/>
    <w:link w:val="CarattereCarattereCharCharCharCharCharCharZchn"/>
    <w:uiPriority w:val="99"/>
    <w:qFormat/>
    <w:rsid w:val="00576BD4"/>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576BD4"/>
    <w:pPr>
      <w:spacing w:before="240" w:after="160" w:line="240" w:lineRule="exact"/>
      <w:jc w:val="both"/>
    </w:pPr>
    <w:rPr>
      <w:vertAlign w:val="superscript"/>
    </w:rPr>
  </w:style>
  <w:style w:type="character" w:customStyle="1" w:styleId="cf01">
    <w:name w:val="cf01"/>
    <w:basedOn w:val="DefaultParagraphFont"/>
    <w:rsid w:val="00576BD4"/>
    <w:rPr>
      <w:rFonts w:ascii="Segoe UI" w:hAnsi="Segoe UI" w:cs="Segoe UI" w:hint="default"/>
      <w:sz w:val="18"/>
      <w:szCs w:val="18"/>
    </w:rPr>
  </w:style>
  <w:style w:type="paragraph" w:customStyle="1" w:styleId="pf0">
    <w:name w:val="pf0"/>
    <w:basedOn w:val="Normal"/>
    <w:rsid w:val="00576BD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unhideWhenUsed/>
    <w:rsid w:val="00576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3AE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infrastructure.gov.m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infrastructure.gov.m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39D2-8052-3944-A4BD-2637B58C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Ministry of Construction and Public Infrastructure</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Abdul Sattar</dc:creator>
  <dc:description>Layout: Mohamed Mahid Moosa</dc:description>
  <cp:lastModifiedBy>Aminath Juweriya</cp:lastModifiedBy>
  <cp:revision>4</cp:revision>
  <cp:lastPrinted>2025-01-19T03:42:00Z</cp:lastPrinted>
  <dcterms:created xsi:type="dcterms:W3CDTF">2025-04-20T12:16:00Z</dcterms:created>
  <dcterms:modified xsi:type="dcterms:W3CDTF">2025-05-22T10:19:00Z</dcterms:modified>
</cp:coreProperties>
</file>